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Informative feedback</w:t>
      </w:r>
      <w:r w:rsidDel="00000000" w:rsidR="00000000" w:rsidRPr="00000000">
        <w:rPr>
          <w:rtl w:val="0"/>
        </w:rPr>
        <w:t xml:space="preserve">  Resource </w:t>
      </w:r>
      <w:r w:rsidDel="00000000" w:rsidR="00000000" w:rsidRPr="00000000">
        <w:rPr>
          <w:b w:val="1"/>
          <w:rtl w:val="0"/>
        </w:rPr>
        <w:t xml:space="preserve">B</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 As students talk in a small group, they may collectively remember some key points. But it may become clear that they need additional instruction. Alternatively, they may need a new learning strategy to help them understand and internalize information from such a lesson. Teachers might ask, What strategies did you use during the presentation yesterday? and What might you try during the next presentation?</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One-Word Summary also provides teachers with feedback about instructional effectiveness. As a teacher, you may realize that students would benefit from additional opportunities to reflect and verbalize. You may use some different strategies, such as stopping more frequently for Think-Pair-Share during a presentation and asking students to summarize a shorter piece of material in a phrase and/or a word to build successful experience in this type of summarizing activity</w:t>
      </w:r>
    </w:p>
    <w:p w:rsidR="00000000" w:rsidDel="00000000" w:rsidP="00000000" w:rsidRDefault="00000000" w:rsidRPr="00000000" w14:paraId="00000007">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08">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This kind of task is not merely an assessment; it is also an integral part of instruction. In order to complete the One-Word Summary, students must think in order to answer. This reflection to select a word that sum- marizes the content into a single word will strengthen understanding; writing a paragraph to defend their thinking will help them explore their thinking even further. Writing, like speaking, is a way to think.</w:t>
      </w:r>
    </w:p>
    <w:p w:rsidR="00000000" w:rsidDel="00000000" w:rsidP="00000000" w:rsidRDefault="00000000" w:rsidRPr="00000000" w14:paraId="00000009">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0A">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SELF-ASSESSMENT: HOW WELL DO I UNDERSTAND?</w:t>
      </w:r>
    </w:p>
    <w:p w:rsidR="00000000" w:rsidDel="00000000" w:rsidP="00000000" w:rsidRDefault="00000000" w:rsidRPr="00000000" w14:paraId="0000000B">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0C">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At the end of a presentation or class period, ask students to rate them- selves on how well they understand the material, ranging from 5 (under- stand completely) to 1 (have very little understanding), and then to write a couple of sentences to justify their rating. This form of self-assessment should work in any content area.</w:t>
      </w:r>
    </w:p>
    <w:p w:rsidR="00000000" w:rsidDel="00000000" w:rsidP="00000000" w:rsidRDefault="00000000" w:rsidRPr="00000000" w14:paraId="0000000D">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0E">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THINKING ROUTINES</w:t>
      </w:r>
    </w:p>
    <w:p w:rsidR="00000000" w:rsidDel="00000000" w:rsidP="00000000" w:rsidRDefault="00000000" w:rsidRPr="00000000" w14:paraId="0000000F">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Think, Puzzle, Explore</w:t>
      </w:r>
    </w:p>
    <w:p w:rsidR="00000000" w:rsidDel="00000000" w:rsidP="00000000" w:rsidRDefault="00000000" w:rsidRPr="00000000" w14:paraId="00000010">
      <w:pPr>
        <w:rPr>
          <w:rFonts w:ascii="Roboto" w:cs="Roboto" w:eastAsia="Roboto" w:hAnsi="Roboto"/>
          <w:b w:val="1"/>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Much like KWL, this thinking routine helps students think about what they currently believe, what is confusing, and how they think they might explore a topic further by answering three questions: (1) What do you think you know about this topic? (2) What questions or puzzles do you have? and (3) How can you explore this topic?  </w:t>
      </w:r>
      <w:r w:rsidDel="00000000" w:rsidR="00000000" w:rsidRPr="00000000">
        <w:rPr>
          <w:rFonts w:ascii="Roboto" w:cs="Roboto" w:eastAsia="Roboto" w:hAnsi="Roboto"/>
          <w:b w:val="1"/>
          <w:color w:val="3c3c3c"/>
          <w:sz w:val="21"/>
          <w:szCs w:val="21"/>
          <w:shd w:fill="fafafa" w:val="clear"/>
          <w:rtl w:val="0"/>
        </w:rPr>
        <w:t xml:space="preserve">In the book </w:t>
      </w:r>
    </w:p>
    <w:p w:rsidR="00000000" w:rsidDel="00000000" w:rsidP="00000000" w:rsidRDefault="00000000" w:rsidRPr="00000000" w14:paraId="00000011">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12">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FACT FIRST QUESTIONING</w:t>
      </w:r>
    </w:p>
    <w:p w:rsidR="00000000" w:rsidDel="00000000" w:rsidP="00000000" w:rsidRDefault="00000000" w:rsidRPr="00000000" w14:paraId="00000013">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Take a fact question and make a statement. Then pose a question about the fact—one that challenges students to go deeper and express more about the content in question.</w:t>
      </w:r>
    </w:p>
    <w:p w:rsidR="00000000" w:rsidDel="00000000" w:rsidP="00000000" w:rsidRDefault="00000000" w:rsidRPr="00000000" w14:paraId="00000014">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15">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example:</w:t>
      </w:r>
    </w:p>
    <w:p w:rsidR="00000000" w:rsidDel="00000000" w:rsidP="00000000" w:rsidRDefault="00000000" w:rsidRPr="00000000" w14:paraId="00000016">
      <w:pPr>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Instead of asking, When did the Civil War end? (to get the answer 1865), say this: The Civil War ended in 1865. What other important events took place during that year? Why were they important?</w:t>
      </w:r>
    </w:p>
    <w:p w:rsidR="00000000" w:rsidDel="00000000" w:rsidP="00000000" w:rsidRDefault="00000000" w:rsidRPr="00000000" w14:paraId="00000017">
      <w:pPr>
        <w:ind w:left="0" w:firstLine="0"/>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18">
      <w:pPr>
        <w:ind w:left="720" w:firstLine="0"/>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19">
      <w:pPr>
        <w:ind w:left="0" w:firstLine="0"/>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RECIPROCAL PEER QUESTIONING</w:t>
      </w:r>
    </w:p>
    <w:p w:rsidR="00000000" w:rsidDel="00000000" w:rsidP="00000000" w:rsidRDefault="00000000" w:rsidRPr="00000000" w14:paraId="0000001A">
      <w:pPr>
        <w:ind w:left="0" w:firstLine="0"/>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1B">
      <w:pPr>
        <w:ind w:left="0" w:firstLine="0"/>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Students question one another about the content they have been studying. Typically, the questions are open-ended, higher-level questions. </w:t>
      </w:r>
    </w:p>
    <w:p w:rsidR="00000000" w:rsidDel="00000000" w:rsidP="00000000" w:rsidRDefault="00000000" w:rsidRPr="00000000" w14:paraId="0000001C">
      <w:pPr>
        <w:ind w:left="0" w:firstLine="0"/>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1D">
      <w:pPr>
        <w:ind w:left="0" w:firstLine="0"/>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Think about what you have learned about ____________________ over the past few days. Write down two or three ques- tions that you would like to ask in order to extend your thinking. After a couple of minutes of quiet writing and reflection, students gather in pairs or triads and take turns posing their questions. The teacher monitors and selects questions to share with the large group.</w:t>
      </w:r>
    </w:p>
    <w:p w:rsidR="00000000" w:rsidDel="00000000" w:rsidP="00000000" w:rsidRDefault="00000000" w:rsidRPr="00000000" w14:paraId="0000001E">
      <w:pPr>
        <w:ind w:left="0" w:firstLine="0"/>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ab/>
        <w:tab/>
        <w:t xml:space="preserve">Chaapter 1 Analysis</w:t>
      </w:r>
    </w:p>
    <w:p w:rsidR="00000000" w:rsidDel="00000000" w:rsidP="00000000" w:rsidRDefault="00000000" w:rsidRPr="00000000" w14:paraId="0000001F">
      <w:pPr>
        <w:ind w:left="0" w:firstLine="0"/>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Critical thinking begins with the ability to analyze, the most prevalent thinking skill in the ELA standards. Analysis involves the tedious task of taking ideas and objects apart, looking carefully at the various components, and then reorganizing the ideas by the similarities and differences found. Analyzing is the opposite of synthesizing, the act of putting ideas together.</w:t>
      </w:r>
    </w:p>
    <w:p w:rsidR="00000000" w:rsidDel="00000000" w:rsidP="00000000" w:rsidRDefault="00000000" w:rsidRPr="00000000" w14:paraId="00000020">
      <w:pPr>
        <w:ind w:left="0" w:firstLine="0"/>
        <w:rPr>
          <w:rFonts w:ascii="Times New Roman" w:cs="Times New Roman" w:eastAsia="Times New Roman" w:hAnsi="Times New Roman"/>
          <w:color w:val="3c3c3c"/>
          <w:sz w:val="24"/>
          <w:szCs w:val="24"/>
          <w:shd w:fill="fafafa" w:val="clear"/>
        </w:rPr>
      </w:pPr>
      <w:r w:rsidDel="00000000" w:rsidR="00000000" w:rsidRPr="00000000">
        <w:rPr>
          <w:rtl w:val="0"/>
        </w:rPr>
      </w:r>
    </w:p>
    <w:p w:rsidR="00000000" w:rsidDel="00000000" w:rsidP="00000000" w:rsidRDefault="00000000" w:rsidRPr="00000000" w14:paraId="00000021">
      <w:pPr>
        <w:ind w:left="0" w:firstLine="0"/>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Analysis spills into many other thinking skills that require the parceling of information for the sake of clarity and understanding. This cognitive skill is inextricably linked to exercises in which similarities and differences are identified. For example, analysis is embedded in comparing and contrasting, classifying and sorting, discerning point of view and nuance, and prioritizing, sequencing, and delineating. </w:t>
      </w:r>
      <w:hyperlink r:id="rId6">
        <w:r w:rsidDel="00000000" w:rsidR="00000000" w:rsidRPr="00000000">
          <w:rPr>
            <w:rFonts w:ascii="Times New Roman" w:cs="Times New Roman" w:eastAsia="Times New Roman" w:hAnsi="Times New Roman"/>
            <w:color w:val="1155cc"/>
            <w:sz w:val="24"/>
            <w:szCs w:val="24"/>
            <w:u w:val="single"/>
            <w:shd w:fill="fafafa" w:val="clear"/>
            <w:rtl w:val="0"/>
          </w:rPr>
          <w:t xml:space="preserve">Table 1.1</w:t>
        </w:r>
      </w:hyperlink>
      <w:r w:rsidDel="00000000" w:rsidR="00000000" w:rsidRPr="00000000">
        <w:rPr>
          <w:rFonts w:ascii="Times New Roman" w:cs="Times New Roman" w:eastAsia="Times New Roman" w:hAnsi="Times New Roman"/>
          <w:color w:val="3c3c3c"/>
          <w:sz w:val="24"/>
          <w:szCs w:val="24"/>
          <w:shd w:fill="fafafa" w:val="clear"/>
          <w:rtl w:val="0"/>
        </w:rPr>
        <w:t xml:space="preserve"> (</w:t>
      </w:r>
      <w:hyperlink r:id="rId7">
        <w:r w:rsidDel="00000000" w:rsidR="00000000" w:rsidRPr="00000000">
          <w:rPr>
            <w:rFonts w:ascii="Times New Roman" w:cs="Times New Roman" w:eastAsia="Times New Roman" w:hAnsi="Times New Roman"/>
            <w:color w:val="1155cc"/>
            <w:sz w:val="24"/>
            <w:szCs w:val="24"/>
            <w:u w:val="single"/>
            <w:shd w:fill="fafafa" w:val="clear"/>
            <w:rtl w:val="0"/>
          </w:rPr>
          <w:t xml:space="preserve">page 16</w:t>
        </w:r>
      </w:hyperlink>
      <w:r w:rsidDel="00000000" w:rsidR="00000000" w:rsidRPr="00000000">
        <w:rPr>
          <w:rFonts w:ascii="Times New Roman" w:cs="Times New Roman" w:eastAsia="Times New Roman" w:hAnsi="Times New Roman"/>
          <w:color w:val="3c3c3c"/>
          <w:sz w:val="24"/>
          <w:szCs w:val="24"/>
          <w:shd w:fill="fafafa" w:val="clear"/>
          <w:rtl w:val="0"/>
        </w:rPr>
        <w:t xml:space="preserve">) provides examples of what this thinking skill looks and sounds like in the classroom.</w:t>
      </w:r>
    </w:p>
    <w:p w:rsidR="00000000" w:rsidDel="00000000" w:rsidP="00000000" w:rsidRDefault="00000000" w:rsidRPr="00000000" w14:paraId="00000022">
      <w:pPr>
        <w:ind w:left="0" w:firstLine="0"/>
        <w:rPr>
          <w:rFonts w:ascii="Times New Roman" w:cs="Times New Roman" w:eastAsia="Times New Roman" w:hAnsi="Times New Roman"/>
          <w:color w:val="3c3c3c"/>
          <w:sz w:val="24"/>
          <w:szCs w:val="24"/>
          <w:shd w:fill="fafafa" w:val="clear"/>
        </w:rPr>
      </w:pPr>
      <w:r w:rsidDel="00000000" w:rsidR="00000000" w:rsidRPr="00000000">
        <w:rPr>
          <w:rtl w:val="0"/>
        </w:rPr>
      </w:r>
    </w:p>
    <w:p w:rsidR="00000000" w:rsidDel="00000000" w:rsidP="00000000" w:rsidRDefault="00000000" w:rsidRPr="00000000" w14:paraId="00000023">
      <w:pPr>
        <w:ind w:firstLine="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In the Walk-Through, phase II, teachers practice the thinking skill within content-based lessons, providing guidance to ensure the proper application of the skill. ELA Standard 10 recommends literature and instructional texts that are available for coupling with grade-level lessons.</w:t>
      </w:r>
    </w:p>
    <w:p w:rsidR="00000000" w:rsidDel="00000000" w:rsidP="00000000" w:rsidRDefault="00000000" w:rsidRPr="00000000" w14:paraId="00000024">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ji3u7slusyc" w:id="0"/>
      <w:bookmarkEnd w:id="0"/>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15" name="image15.png"/>
            <a:graphic>
              <a:graphicData uri="http://schemas.openxmlformats.org/drawingml/2006/picture">
                <pic:pic>
                  <pic:nvPicPr>
                    <pic:cNvPr descr="images" id="0" name="image15.png"/>
                    <pic:cNvPicPr preferRelativeResize="0"/>
                  </pic:nvPicPr>
                  <pic:blipFill>
                    <a:blip r:embed="rId8"/>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Elementary Level</w:t>
      </w:r>
    </w:p>
    <w:p w:rsidR="00000000" w:rsidDel="00000000" w:rsidP="00000000" w:rsidRDefault="00000000" w:rsidRPr="00000000" w14:paraId="00000025">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Read aloud a grade-level story recommended by Standard 10. Ask the students to brainstorm the events of the story. Pick ten to fifteen events from the list, and invite groups to each sketch a fishbone on an 8 × 10 newsprint sheet or overhead slide. Ask one group to come forward and tape its sketch on the board for all to see or use the SMART Board to project the slide. Have a group discussion about the display.</w:t>
      </w:r>
    </w:p>
    <w:p w:rsidR="00000000" w:rsidDel="00000000" w:rsidP="00000000" w:rsidRDefault="00000000" w:rsidRPr="00000000" w14:paraId="00000026">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qn0y82ijbpt" w:id="1"/>
      <w:bookmarkEnd w:id="1"/>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4" name="image4.png"/>
            <a:graphic>
              <a:graphicData uri="http://schemas.openxmlformats.org/drawingml/2006/picture">
                <pic:pic>
                  <pic:nvPicPr>
                    <pic:cNvPr descr="images" id="0" name="image4.png"/>
                    <pic:cNvPicPr preferRelativeResize="0"/>
                  </pic:nvPicPr>
                  <pic:blipFill>
                    <a:blip r:embed="rId9"/>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Middle Level</w:t>
      </w:r>
    </w:p>
    <w:p w:rsidR="00000000" w:rsidDel="00000000" w:rsidP="00000000" w:rsidRDefault="00000000" w:rsidRPr="00000000" w14:paraId="00000027">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Present a fishbone diagram to the class. Using a current event, walk the students through filling out the diagram to show the causes of the event.</w:t>
      </w:r>
    </w:p>
    <w:p w:rsidR="00000000" w:rsidDel="00000000" w:rsidP="00000000" w:rsidRDefault="00000000" w:rsidRPr="00000000" w14:paraId="00000028">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Assign students to organize themselves into cooperative groups of three. Give each group markers and a large sheet of newsprint on which to create a fishbone diagram. Help them find magazines or newspapers with stories they can analyze for cause and effect. At the end, allow a carousel hunt around the room so all can see. For the hunt, invite the teams to post their completed posters on the classroom walls. With one team member staying by the poster to answer questions, the others take a spin around the classroom, moving from poster to poster at your signal. They can ask questions, give constructive feedback, or discuss the poster’s content.</w:t>
      </w:r>
    </w:p>
    <w:p w:rsidR="00000000" w:rsidDel="00000000" w:rsidP="00000000" w:rsidRDefault="00000000" w:rsidRPr="00000000" w14:paraId="00000029">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l2qpbkn0k60g" w:id="2"/>
      <w:bookmarkEnd w:id="2"/>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20" name="image20.png"/>
            <a:graphic>
              <a:graphicData uri="http://schemas.openxmlformats.org/drawingml/2006/picture">
                <pic:pic>
                  <pic:nvPicPr>
                    <pic:cNvPr descr="images" id="0" name="image20.png"/>
                    <pic:cNvPicPr preferRelativeResize="0"/>
                  </pic:nvPicPr>
                  <pic:blipFill>
                    <a:blip r:embed="rId10"/>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Secondary Level</w:t>
      </w:r>
    </w:p>
    <w:p w:rsidR="00000000" w:rsidDel="00000000" w:rsidP="00000000" w:rsidRDefault="00000000" w:rsidRPr="00000000" w14:paraId="0000002A">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Ask students to participate in a think-pair-share to determine what strategies are most important when making a proof for an isosceles triangle. Have the students discuss and narrow the list to three, such as: (1) review theorems and postulates, (2) review the properties of lines, angles, and triangles, and (3) establish the logical progressions. Assign a common problem for the pairs to solve with the three strategies. Ask matched pairs to review others’ ideas and to generate a discussion for the whole class.</w:t>
      </w:r>
    </w:p>
    <w:p w:rsidR="00000000" w:rsidDel="00000000" w:rsidP="00000000" w:rsidRDefault="00000000" w:rsidRPr="00000000" w14:paraId="0000002B">
      <w:pPr>
        <w:pStyle w:val="Heading4"/>
        <w:keepNext w:val="0"/>
        <w:keepLines w:val="0"/>
        <w:spacing w:after="0" w:before="300" w:lineRule="auto"/>
        <w:ind w:left="1220" w:firstLine="0"/>
        <w:rPr>
          <w:rFonts w:ascii="Times New Roman" w:cs="Times New Roman" w:eastAsia="Times New Roman" w:hAnsi="Times New Roman"/>
          <w:b w:val="1"/>
          <w:color w:val="3c3c3c"/>
          <w:sz w:val="38"/>
          <w:szCs w:val="38"/>
          <w:shd w:fill="fafafa" w:val="clear"/>
        </w:rPr>
      </w:pPr>
      <w:bookmarkStart w:colFirst="0" w:colLast="0" w:name="_rbdt6ocawtha" w:id="3"/>
      <w:bookmarkEnd w:id="3"/>
      <w:r w:rsidDel="00000000" w:rsidR="00000000" w:rsidRPr="00000000">
        <w:rPr>
          <w:rFonts w:ascii="Times New Roman" w:cs="Times New Roman" w:eastAsia="Times New Roman" w:hAnsi="Times New Roman"/>
          <w:b w:val="1"/>
          <w:color w:val="3c3c3c"/>
          <w:sz w:val="38"/>
          <w:szCs w:val="38"/>
          <w:shd w:fill="fafafa" w:val="clear"/>
          <w:rtl w:val="0"/>
        </w:rPr>
        <w:t xml:space="preserve">CCSS Performance Task Lesson</w:t>
      </w:r>
    </w:p>
    <w:p w:rsidR="00000000" w:rsidDel="00000000" w:rsidP="00000000" w:rsidRDefault="00000000" w:rsidRPr="00000000" w14:paraId="0000002C">
      <w:pPr>
        <w:spacing w:before="40" w:lineRule="auto"/>
        <w:rPr>
          <w:rFonts w:ascii="Times New Roman" w:cs="Times New Roman" w:eastAsia="Times New Roman" w:hAnsi="Times New Roman"/>
          <w:b w:val="1"/>
          <w:color w:val="3c3c3c"/>
          <w:sz w:val="38"/>
          <w:szCs w:val="38"/>
          <w:shd w:fill="fafafa" w:val="clear"/>
        </w:rPr>
      </w:pPr>
      <w:r w:rsidDel="00000000" w:rsidR="00000000" w:rsidRPr="00000000">
        <w:rPr>
          <w:rFonts w:ascii="Times New Roman" w:cs="Times New Roman" w:eastAsia="Times New Roman" w:hAnsi="Times New Roman"/>
          <w:b w:val="1"/>
          <w:color w:val="3c3c3c"/>
          <w:sz w:val="38"/>
          <w:szCs w:val="38"/>
          <w:shd w:fill="fafafa" w:val="clear"/>
        </w:rPr>
        <w:drawing>
          <wp:inline distB="114300" distT="114300" distL="114300" distR="114300">
            <wp:extent cx="635000" cy="635000"/>
            <wp:effectExtent b="0" l="0" r="0" t="0"/>
            <wp:docPr descr="images" id="3" name="image3.png"/>
            <a:graphic>
              <a:graphicData uri="http://schemas.openxmlformats.org/drawingml/2006/picture">
                <pic:pic>
                  <pic:nvPicPr>
                    <pic:cNvPr descr="images" id="0" name="image3.png"/>
                    <pic:cNvPicPr preferRelativeResize="0"/>
                  </pic:nvPicPr>
                  <pic:blipFill>
                    <a:blip r:embed="rId11"/>
                    <a:srcRect b="0" l="0" r="0" t="0"/>
                    <a:stretch>
                      <a:fillRect/>
                    </a:stretch>
                  </pic:blipFill>
                  <pic:spPr>
                    <a:xfrm>
                      <a:off x="0" y="0"/>
                      <a:ext cx="6350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ind w:firstLine="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During the Drive-Through, phase III, the thinking skill is transferred to authentic applications using CCSS performance tasks, allowing educators to make a direct connection between the selected thinking skill and the new standards. To deepen students’ confidence with this skill, the teacher facilitates the student work, moving the students closer and closer to independent practice. Once the students are able to employ the skill independently, they are ready to transfer it across the curriculum. (For additional performance tasks, browse Common Core State Standards, Performance Tasks, </w:t>
      </w:r>
      <w:hyperlink r:id="rId12">
        <w:r w:rsidDel="00000000" w:rsidR="00000000" w:rsidRPr="00000000">
          <w:rPr>
            <w:rFonts w:ascii="Times New Roman" w:cs="Times New Roman" w:eastAsia="Times New Roman" w:hAnsi="Times New Roman"/>
            <w:color w:val="1155cc"/>
            <w:sz w:val="24"/>
            <w:szCs w:val="24"/>
            <w:u w:val="single"/>
            <w:shd w:fill="fafafa" w:val="clear"/>
            <w:rtl w:val="0"/>
          </w:rPr>
          <w:t xml:space="preserve">Appendix B</w:t>
        </w:r>
      </w:hyperlink>
      <w:r w:rsidDel="00000000" w:rsidR="00000000" w:rsidRPr="00000000">
        <w:rPr>
          <w:rFonts w:ascii="Times New Roman" w:cs="Times New Roman" w:eastAsia="Times New Roman" w:hAnsi="Times New Roman"/>
          <w:color w:val="3c3c3c"/>
          <w:sz w:val="24"/>
          <w:szCs w:val="24"/>
          <w:shd w:fill="fafafa" w:val="clear"/>
          <w:rtl w:val="0"/>
        </w:rPr>
        <w:t xml:space="preserve"> [NGA &amp; CCSSO, 2010b].)</w:t>
      </w:r>
    </w:p>
    <w:p w:rsidR="00000000" w:rsidDel="00000000" w:rsidP="00000000" w:rsidRDefault="00000000" w:rsidRPr="00000000" w14:paraId="0000002E">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iu1ppcexwjjh" w:id="4"/>
      <w:bookmarkEnd w:id="4"/>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18" name="image18.png"/>
            <a:graphic>
              <a:graphicData uri="http://schemas.openxmlformats.org/drawingml/2006/picture">
                <pic:pic>
                  <pic:nvPicPr>
                    <pic:cNvPr descr="images" id="0" name="image18.png"/>
                    <pic:cNvPicPr preferRelativeResize="0"/>
                  </pic:nvPicPr>
                  <pic:blipFill>
                    <a:blip r:embed="rId13"/>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Elementary Level</w:t>
      </w:r>
    </w:p>
    <w:p w:rsidR="00000000" w:rsidDel="00000000" w:rsidP="00000000" w:rsidRDefault="00000000" w:rsidRPr="00000000" w14:paraId="0000002F">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RL.4.5 (Reading: Literature, grade 4, standard 5):</w:t>
      </w:r>
    </w:p>
    <w:p w:rsidR="00000000" w:rsidDel="00000000" w:rsidP="00000000" w:rsidRDefault="00000000" w:rsidRPr="00000000" w14:paraId="00000030">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refer to the structural elements (e.g., verse, rhythm, meter) of</w:t>
      </w:r>
      <w:r w:rsidDel="00000000" w:rsidR="00000000" w:rsidRPr="00000000">
        <w:rPr>
          <w:rFonts w:ascii="Times New Roman" w:cs="Times New Roman" w:eastAsia="Times New Roman" w:hAnsi="Times New Roman"/>
          <w:color w:val="3c3c3c"/>
          <w:shd w:fill="fafafa" w:val="clear"/>
          <w:rtl w:val="0"/>
        </w:rPr>
        <w:t xml:space="preserve"> Ernest Lawrence Thayer’s “Casey at the Bat” when analyzing the </w:t>
      </w:r>
      <w:r w:rsidDel="00000000" w:rsidR="00000000" w:rsidRPr="00000000">
        <w:rPr>
          <w:rFonts w:ascii="Times New Roman" w:cs="Times New Roman" w:eastAsia="Times New Roman" w:hAnsi="Times New Roman"/>
          <w:i w:val="1"/>
          <w:color w:val="3c3c3c"/>
          <w:shd w:fill="fafafa" w:val="clear"/>
          <w:rtl w:val="0"/>
        </w:rPr>
        <w:t xml:space="preserve">poem</w:t>
      </w:r>
      <w:r w:rsidDel="00000000" w:rsidR="00000000" w:rsidRPr="00000000">
        <w:rPr>
          <w:rFonts w:ascii="Times New Roman" w:cs="Times New Roman" w:eastAsia="Times New Roman" w:hAnsi="Times New Roman"/>
          <w:color w:val="3c3c3c"/>
          <w:shd w:fill="fafafa" w:val="clear"/>
          <w:rtl w:val="0"/>
        </w:rPr>
        <w:t xml:space="preserve"> and contrasting the impact and </w:t>
      </w:r>
      <w:r w:rsidDel="00000000" w:rsidR="00000000" w:rsidRPr="00000000">
        <w:rPr>
          <w:rFonts w:ascii="Times New Roman" w:cs="Times New Roman" w:eastAsia="Times New Roman" w:hAnsi="Times New Roman"/>
          <w:i w:val="1"/>
          <w:color w:val="3c3c3c"/>
          <w:shd w:fill="fafafa" w:val="clear"/>
          <w:rtl w:val="0"/>
        </w:rPr>
        <w:t xml:space="preserve">differences</w:t>
      </w:r>
      <w:r w:rsidDel="00000000" w:rsidR="00000000" w:rsidRPr="00000000">
        <w:rPr>
          <w:rFonts w:ascii="Times New Roman" w:cs="Times New Roman" w:eastAsia="Times New Roman" w:hAnsi="Times New Roman"/>
          <w:color w:val="3c3c3c"/>
          <w:shd w:fill="fafafa" w:val="clear"/>
          <w:rtl w:val="0"/>
        </w:rPr>
        <w:t xml:space="preserve"> of those </w:t>
      </w:r>
      <w:r w:rsidDel="00000000" w:rsidR="00000000" w:rsidRPr="00000000">
        <w:rPr>
          <w:rFonts w:ascii="Times New Roman" w:cs="Times New Roman" w:eastAsia="Times New Roman" w:hAnsi="Times New Roman"/>
          <w:i w:val="1"/>
          <w:color w:val="3c3c3c"/>
          <w:shd w:fill="fafafa" w:val="clear"/>
          <w:rtl w:val="0"/>
        </w:rPr>
        <w:t xml:space="preserve">elements</w:t>
      </w:r>
      <w:r w:rsidDel="00000000" w:rsidR="00000000" w:rsidRPr="00000000">
        <w:rPr>
          <w:rFonts w:ascii="Times New Roman" w:cs="Times New Roman" w:eastAsia="Times New Roman" w:hAnsi="Times New Roman"/>
          <w:color w:val="3c3c3c"/>
          <w:shd w:fill="fafafa" w:val="clear"/>
          <w:rtl w:val="0"/>
        </w:rPr>
        <w:t xml:space="preserve"> to a </w:t>
      </w:r>
      <w:r w:rsidDel="00000000" w:rsidR="00000000" w:rsidRPr="00000000">
        <w:rPr>
          <w:rFonts w:ascii="Times New Roman" w:cs="Times New Roman" w:eastAsia="Times New Roman" w:hAnsi="Times New Roman"/>
          <w:i w:val="1"/>
          <w:color w:val="3c3c3c"/>
          <w:shd w:fill="fafafa" w:val="clear"/>
          <w:rtl w:val="0"/>
        </w:rPr>
        <w:t xml:space="preserve">prose</w:t>
      </w:r>
      <w:r w:rsidDel="00000000" w:rsidR="00000000" w:rsidRPr="00000000">
        <w:rPr>
          <w:rFonts w:ascii="Times New Roman" w:cs="Times New Roman" w:eastAsia="Times New Roman" w:hAnsi="Times New Roman"/>
          <w:color w:val="3c3c3c"/>
          <w:shd w:fill="fafafa" w:val="clear"/>
          <w:rtl w:val="0"/>
        </w:rPr>
        <w:t xml:space="preserve"> summary of the </w:t>
      </w:r>
      <w:r w:rsidDel="00000000" w:rsidR="00000000" w:rsidRPr="00000000">
        <w:rPr>
          <w:rFonts w:ascii="Times New Roman" w:cs="Times New Roman" w:eastAsia="Times New Roman" w:hAnsi="Times New Roman"/>
          <w:i w:val="1"/>
          <w:color w:val="3c3c3c"/>
          <w:shd w:fill="fafafa" w:val="clear"/>
          <w:rtl w:val="0"/>
        </w:rPr>
        <w:t xml:space="preserve">poem</w:t>
      </w:r>
      <w:r w:rsidDel="00000000" w:rsidR="00000000" w:rsidRPr="00000000">
        <w:rPr>
          <w:rFonts w:ascii="Times New Roman" w:cs="Times New Roman" w:eastAsia="Times New Roman" w:hAnsi="Times New Roman"/>
          <w:color w:val="3c3c3c"/>
          <w:shd w:fill="fafafa" w:val="clear"/>
          <w:rtl w:val="0"/>
        </w:rPr>
        <w:t xml:space="preserve">. (NGA &amp; CCSSO, 2010b, p. 70)</w:t>
      </w:r>
    </w:p>
    <w:p w:rsidR="00000000" w:rsidDel="00000000" w:rsidP="00000000" w:rsidRDefault="00000000" w:rsidRPr="00000000" w14:paraId="00000031">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ojai7t2bd3ab" w:id="5"/>
      <w:bookmarkEnd w:id="5"/>
      <w:r w:rsidDel="00000000" w:rsidR="00000000" w:rsidRPr="00000000">
        <w:rPr>
          <w:rFonts w:ascii="Times New Roman" w:cs="Times New Roman" w:eastAsia="Times New Roman" w:hAnsi="Times New Roman"/>
          <w:i w:val="0"/>
          <w:color w:val="3c3c3c"/>
          <w:shd w:fill="fafafa" w:val="clear"/>
        </w:rPr>
        <w:drawing>
          <wp:inline distB="114300" distT="114300" distL="114300" distR="114300">
            <wp:extent cx="635000" cy="635000"/>
            <wp:effectExtent b="0" l="0" r="0" t="0"/>
            <wp:docPr descr="images" id="2" name="image2.png"/>
            <a:graphic>
              <a:graphicData uri="http://schemas.openxmlformats.org/drawingml/2006/picture">
                <pic:pic>
                  <pic:nvPicPr>
                    <pic:cNvPr descr="images" id="0" name="image2.png"/>
                    <pic:cNvPicPr preferRelativeResize="0"/>
                  </pic:nvPicPr>
                  <pic:blipFill>
                    <a:blip r:embed="rId14"/>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Middle Level</w:t>
      </w:r>
    </w:p>
    <w:p w:rsidR="00000000" w:rsidDel="00000000" w:rsidP="00000000" w:rsidRDefault="00000000" w:rsidRPr="00000000" w14:paraId="00000032">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RI.6.3 (Reading: Informational Text, grade 6, standard 3):</w:t>
      </w:r>
    </w:p>
    <w:p w:rsidR="00000000" w:rsidDel="00000000" w:rsidP="00000000" w:rsidRDefault="00000000" w:rsidRPr="00000000" w14:paraId="00000033">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analyze in detail how</w:t>
      </w:r>
      <w:r w:rsidDel="00000000" w:rsidR="00000000" w:rsidRPr="00000000">
        <w:rPr>
          <w:rFonts w:ascii="Times New Roman" w:cs="Times New Roman" w:eastAsia="Times New Roman" w:hAnsi="Times New Roman"/>
          <w:color w:val="3c3c3c"/>
          <w:shd w:fill="fafafa" w:val="clear"/>
          <w:rtl w:val="0"/>
        </w:rPr>
        <w:t xml:space="preserve"> the early years of Harriet Tubman (as related by author Ann Petry) contributed to her later becoming a conductor on the Underground Railroad, attending to how the author </w:t>
      </w:r>
      <w:r w:rsidDel="00000000" w:rsidR="00000000" w:rsidRPr="00000000">
        <w:rPr>
          <w:rFonts w:ascii="Times New Roman" w:cs="Times New Roman" w:eastAsia="Times New Roman" w:hAnsi="Times New Roman"/>
          <w:i w:val="1"/>
          <w:color w:val="3c3c3c"/>
          <w:shd w:fill="fafafa" w:val="clear"/>
          <w:rtl w:val="0"/>
        </w:rPr>
        <w:t xml:space="preserve">introduces, illustrates, and elaborates</w:t>
      </w:r>
      <w:r w:rsidDel="00000000" w:rsidR="00000000" w:rsidRPr="00000000">
        <w:rPr>
          <w:rFonts w:ascii="Times New Roman" w:cs="Times New Roman" w:eastAsia="Times New Roman" w:hAnsi="Times New Roman"/>
          <w:color w:val="3c3c3c"/>
          <w:shd w:fill="fafafa" w:val="clear"/>
          <w:rtl w:val="0"/>
        </w:rPr>
        <w:t xml:space="preserve"> upon the events in Tubman’s life. (NGA &amp; CCSSO, 2010b, p. 93)</w:t>
      </w:r>
    </w:p>
    <w:p w:rsidR="00000000" w:rsidDel="00000000" w:rsidP="00000000" w:rsidRDefault="00000000" w:rsidRPr="00000000" w14:paraId="00000034">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wgrtc1dwa8ww" w:id="6"/>
      <w:bookmarkEnd w:id="6"/>
      <w:r w:rsidDel="00000000" w:rsidR="00000000" w:rsidRPr="00000000">
        <w:rPr>
          <w:rFonts w:ascii="Times New Roman" w:cs="Times New Roman" w:eastAsia="Times New Roman" w:hAnsi="Times New Roman"/>
          <w:i w:val="0"/>
          <w:color w:val="3c3c3c"/>
          <w:shd w:fill="fafafa" w:val="clear"/>
        </w:rPr>
        <w:drawing>
          <wp:inline distB="114300" distT="114300" distL="114300" distR="114300">
            <wp:extent cx="635000" cy="635000"/>
            <wp:effectExtent b="0" l="0" r="0" t="0"/>
            <wp:docPr descr="images" id="6" name="image6.png"/>
            <a:graphic>
              <a:graphicData uri="http://schemas.openxmlformats.org/drawingml/2006/picture">
                <pic:pic>
                  <pic:nvPicPr>
                    <pic:cNvPr descr="images" id="0" name="image6.png"/>
                    <pic:cNvPicPr preferRelativeResize="0"/>
                  </pic:nvPicPr>
                  <pic:blipFill>
                    <a:blip r:embed="rId15"/>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Secondary Level</w:t>
      </w:r>
    </w:p>
    <w:p w:rsidR="00000000" w:rsidDel="00000000" w:rsidP="00000000" w:rsidRDefault="00000000" w:rsidRPr="00000000" w14:paraId="00000035">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RST.9–10.1 (Science &amp; Technical Subjects, grades 9–10, standard 1):</w:t>
      </w:r>
    </w:p>
    <w:p w:rsidR="00000000" w:rsidDel="00000000" w:rsidP="00000000" w:rsidRDefault="00000000" w:rsidRPr="00000000" w14:paraId="00000036">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cite specific textual evidence</w:t>
      </w:r>
      <w:r w:rsidDel="00000000" w:rsidR="00000000" w:rsidRPr="00000000">
        <w:rPr>
          <w:rFonts w:ascii="Times New Roman" w:cs="Times New Roman" w:eastAsia="Times New Roman" w:hAnsi="Times New Roman"/>
          <w:color w:val="3c3c3c"/>
          <w:shd w:fill="fafafa" w:val="clear"/>
          <w:rtl w:val="0"/>
        </w:rPr>
        <w:t xml:space="preserve"> from Annie J. Cannon’s “Classifying the Stars” to </w:t>
      </w:r>
      <w:r w:rsidDel="00000000" w:rsidR="00000000" w:rsidRPr="00000000">
        <w:rPr>
          <w:rFonts w:ascii="Times New Roman" w:cs="Times New Roman" w:eastAsia="Times New Roman" w:hAnsi="Times New Roman"/>
          <w:i w:val="1"/>
          <w:color w:val="3c3c3c"/>
          <w:shd w:fill="fafafa" w:val="clear"/>
          <w:rtl w:val="0"/>
        </w:rPr>
        <w:t xml:space="preserve">support</w:t>
      </w:r>
      <w:r w:rsidDel="00000000" w:rsidR="00000000" w:rsidRPr="00000000">
        <w:rPr>
          <w:rFonts w:ascii="Times New Roman" w:cs="Times New Roman" w:eastAsia="Times New Roman" w:hAnsi="Times New Roman"/>
          <w:color w:val="3c3c3c"/>
          <w:shd w:fill="fafafa" w:val="clear"/>
          <w:rtl w:val="0"/>
        </w:rPr>
        <w:t xml:space="preserve"> their </w:t>
      </w:r>
      <w:r w:rsidDel="00000000" w:rsidR="00000000" w:rsidRPr="00000000">
        <w:rPr>
          <w:rFonts w:ascii="Times New Roman" w:cs="Times New Roman" w:eastAsia="Times New Roman" w:hAnsi="Times New Roman"/>
          <w:i w:val="1"/>
          <w:color w:val="3c3c3c"/>
          <w:shd w:fill="fafafa" w:val="clear"/>
          <w:rtl w:val="0"/>
        </w:rPr>
        <w:t xml:space="preserve">analysis</w:t>
      </w:r>
      <w:r w:rsidDel="00000000" w:rsidR="00000000" w:rsidRPr="00000000">
        <w:rPr>
          <w:rFonts w:ascii="Times New Roman" w:cs="Times New Roman" w:eastAsia="Times New Roman" w:hAnsi="Times New Roman"/>
          <w:color w:val="3c3c3c"/>
          <w:shd w:fill="fafafa" w:val="clear"/>
          <w:rtl w:val="0"/>
        </w:rPr>
        <w:t xml:space="preserve"> of the scientific importance of the discovery that light is composed of many colors. Students </w:t>
      </w:r>
      <w:r w:rsidDel="00000000" w:rsidR="00000000" w:rsidRPr="00000000">
        <w:rPr>
          <w:rFonts w:ascii="Times New Roman" w:cs="Times New Roman" w:eastAsia="Times New Roman" w:hAnsi="Times New Roman"/>
          <w:i w:val="1"/>
          <w:color w:val="3c3c3c"/>
          <w:shd w:fill="fafafa" w:val="clear"/>
          <w:rtl w:val="0"/>
        </w:rPr>
        <w:t xml:space="preserve">include</w:t>
      </w:r>
      <w:r w:rsidDel="00000000" w:rsidR="00000000" w:rsidRPr="00000000">
        <w:rPr>
          <w:rFonts w:ascii="Times New Roman" w:cs="Times New Roman" w:eastAsia="Times New Roman" w:hAnsi="Times New Roman"/>
          <w:color w:val="3c3c3c"/>
          <w:shd w:fill="fafafa" w:val="clear"/>
          <w:rtl w:val="0"/>
        </w:rPr>
        <w:t xml:space="preserve"> in their </w:t>
      </w:r>
      <w:r w:rsidDel="00000000" w:rsidR="00000000" w:rsidRPr="00000000">
        <w:rPr>
          <w:rFonts w:ascii="Times New Roman" w:cs="Times New Roman" w:eastAsia="Times New Roman" w:hAnsi="Times New Roman"/>
          <w:i w:val="1"/>
          <w:color w:val="3c3c3c"/>
          <w:shd w:fill="fafafa" w:val="clear"/>
          <w:rtl w:val="0"/>
        </w:rPr>
        <w:t xml:space="preserve">analysis precise details</w:t>
      </w:r>
      <w:r w:rsidDel="00000000" w:rsidR="00000000" w:rsidRPr="00000000">
        <w:rPr>
          <w:rFonts w:ascii="Times New Roman" w:cs="Times New Roman" w:eastAsia="Times New Roman" w:hAnsi="Times New Roman"/>
          <w:color w:val="3c3c3c"/>
          <w:shd w:fill="fafafa" w:val="clear"/>
          <w:rtl w:val="0"/>
        </w:rPr>
        <w:t xml:space="preserve"> from the text (such as Cannon’s repeated use of the image of the rainbow) to buttress their explanation. (NGA &amp; CCSSO, 2010b, p. 138)</w:t>
      </w:r>
    </w:p>
    <w:p w:rsidR="00000000" w:rsidDel="00000000" w:rsidP="00000000" w:rsidRDefault="00000000" w:rsidRPr="00000000" w14:paraId="00000037">
      <w:pPr>
        <w:pStyle w:val="Heading4"/>
        <w:keepNext w:val="0"/>
        <w:keepLines w:val="0"/>
        <w:spacing w:after="0" w:before="300" w:lineRule="auto"/>
        <w:rPr>
          <w:rFonts w:ascii="Times New Roman" w:cs="Times New Roman" w:eastAsia="Times New Roman" w:hAnsi="Times New Roman"/>
          <w:b w:val="1"/>
          <w:color w:val="3c3c3c"/>
          <w:sz w:val="38"/>
          <w:szCs w:val="38"/>
          <w:shd w:fill="fafafa" w:val="clear"/>
        </w:rPr>
      </w:pPr>
      <w:bookmarkStart w:colFirst="0" w:colLast="0" w:name="_90lgwfgem50t" w:id="7"/>
      <w:bookmarkEnd w:id="7"/>
      <w:r w:rsidDel="00000000" w:rsidR="00000000" w:rsidRPr="00000000">
        <w:rPr>
          <w:rFonts w:ascii="Times New Roman" w:cs="Times New Roman" w:eastAsia="Times New Roman" w:hAnsi="Times New Roman"/>
          <w:b w:val="1"/>
          <w:color w:val="3c3c3c"/>
          <w:sz w:val="38"/>
          <w:szCs w:val="38"/>
          <w:shd w:fill="fafafa" w:val="clear"/>
          <w:rtl w:val="0"/>
        </w:rPr>
        <w:t xml:space="preserve">Reflection Questions</w:t>
      </w:r>
    </w:p>
    <w:p w:rsidR="00000000" w:rsidDel="00000000" w:rsidP="00000000" w:rsidRDefault="00000000" w:rsidRPr="00000000" w14:paraId="00000038">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These questions are designed to enrich your learning from doing. Such reflection enables you to deepen your understanding of the lessons you have just provided. You might also consider modifying these questions to further guide your students’ reflection on this thinking skill.</w:t>
      </w:r>
    </w:p>
    <w:p w:rsidR="00000000" w:rsidDel="00000000" w:rsidP="00000000" w:rsidRDefault="00000000" w:rsidRPr="00000000" w14:paraId="00000039">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1.   How does the skill of analyzing connect to something you already do in your classroom?</w:t>
      </w:r>
    </w:p>
    <w:p w:rsidR="00000000" w:rsidDel="00000000" w:rsidP="00000000" w:rsidRDefault="00000000" w:rsidRPr="00000000" w14:paraId="0000003A">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2.   How might you integrate this skill more explicitly in your lessons?</w:t>
      </w:r>
    </w:p>
    <w:p w:rsidR="00000000" w:rsidDel="00000000" w:rsidP="00000000" w:rsidRDefault="00000000" w:rsidRPr="00000000" w14:paraId="0000003B">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3.   What is the most helpful takeaway concerning this critical thinking skill?</w:t>
      </w:r>
    </w:p>
    <w:p w:rsidR="00000000" w:rsidDel="00000000" w:rsidP="00000000" w:rsidRDefault="00000000" w:rsidRPr="00000000" w14:paraId="0000003C">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4.   What will you do to help students become better with this skill? Be specific.</w:t>
      </w:r>
    </w:p>
    <w:p w:rsidR="00000000" w:rsidDel="00000000" w:rsidP="00000000" w:rsidRDefault="00000000" w:rsidRPr="00000000" w14:paraId="0000003D">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5.   How might you “take apart” or “analyze” the Common Core State Standards? Where would you start? What questions and criteria would you have to consider before attempting the task?</w:t>
      </w:r>
    </w:p>
    <w:p w:rsidR="00000000" w:rsidDel="00000000" w:rsidP="00000000" w:rsidRDefault="00000000" w:rsidRPr="00000000" w14:paraId="0000003E">
      <w:pPr>
        <w:ind w:firstLine="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In the Walk-Through, phase II, teachers practice the thinking skill within content-based lessons, providing guidance to ensure the proper application of the skill. ELA Standard 10 recommends literature and instructional texts that are available for coupling with grade-level lessons.</w:t>
      </w:r>
    </w:p>
    <w:p w:rsidR="00000000" w:rsidDel="00000000" w:rsidP="00000000" w:rsidRDefault="00000000" w:rsidRPr="00000000" w14:paraId="0000003F">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rey0aawq2eio" w:id="8"/>
      <w:bookmarkEnd w:id="8"/>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19" name="image19.png"/>
            <a:graphic>
              <a:graphicData uri="http://schemas.openxmlformats.org/drawingml/2006/picture">
                <pic:pic>
                  <pic:nvPicPr>
                    <pic:cNvPr descr="images" id="0" name="image19.png"/>
                    <pic:cNvPicPr preferRelativeResize="0"/>
                  </pic:nvPicPr>
                  <pic:blipFill>
                    <a:blip r:embed="rId16"/>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Elementary Level</w:t>
      </w:r>
    </w:p>
    <w:p w:rsidR="00000000" w:rsidDel="00000000" w:rsidP="00000000" w:rsidRDefault="00000000" w:rsidRPr="00000000" w14:paraId="00000040">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Read aloud a grade-level story recommended by Standard 10. Ask the students to brainstorm the events of the story. Pick ten to fifteen events from the list, and invite groups to each sketch a fishbone on an 8 × 10 newsprint sheet or overhead slide. Ask one group to come forward and tape its sketch on the board for all to see or use the SMART Board to project the slide. Have a group discussion about the display.</w:t>
      </w:r>
    </w:p>
    <w:p w:rsidR="00000000" w:rsidDel="00000000" w:rsidP="00000000" w:rsidRDefault="00000000" w:rsidRPr="00000000" w14:paraId="00000041">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dne1kl2qu5f1" w:id="9"/>
      <w:bookmarkEnd w:id="9"/>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8" name="image8.png"/>
            <a:graphic>
              <a:graphicData uri="http://schemas.openxmlformats.org/drawingml/2006/picture">
                <pic:pic>
                  <pic:nvPicPr>
                    <pic:cNvPr descr="images" id="0" name="image8.png"/>
                    <pic:cNvPicPr preferRelativeResize="0"/>
                  </pic:nvPicPr>
                  <pic:blipFill>
                    <a:blip r:embed="rId17"/>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Middle Level</w:t>
      </w:r>
    </w:p>
    <w:p w:rsidR="00000000" w:rsidDel="00000000" w:rsidP="00000000" w:rsidRDefault="00000000" w:rsidRPr="00000000" w14:paraId="00000042">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Present a fishbone diagram to the class. Using a current event, walk the students through filling out the diagram to show the causes of the event.</w:t>
      </w:r>
    </w:p>
    <w:p w:rsidR="00000000" w:rsidDel="00000000" w:rsidP="00000000" w:rsidRDefault="00000000" w:rsidRPr="00000000" w14:paraId="00000043">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Assign students to organize themselves into cooperative groups of three. Give each group markers and a large sheet of newsprint on which to create a fishbone diagram. Help them find magazines or newspapers with stories they can analyze for cause and effect. At the end, allow a carousel hunt around the room so all can see. For the hunt, invite the teams to post their completed posters on the classroom walls. With one team member staying by the poster to answer questions, the others take a spin around the classroom, moving from poster to poster at your signal. They can ask questions, give constructive feedback, or discuss the poster’s content.</w:t>
      </w:r>
    </w:p>
    <w:p w:rsidR="00000000" w:rsidDel="00000000" w:rsidP="00000000" w:rsidRDefault="00000000" w:rsidRPr="00000000" w14:paraId="00000044">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ff0on0iss8uo" w:id="10"/>
      <w:bookmarkEnd w:id="10"/>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5" name="image5.png"/>
            <a:graphic>
              <a:graphicData uri="http://schemas.openxmlformats.org/drawingml/2006/picture">
                <pic:pic>
                  <pic:nvPicPr>
                    <pic:cNvPr descr="images" id="0" name="image5.png"/>
                    <pic:cNvPicPr preferRelativeResize="0"/>
                  </pic:nvPicPr>
                  <pic:blipFill>
                    <a:blip r:embed="rId18"/>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Secondary Level</w:t>
      </w:r>
    </w:p>
    <w:p w:rsidR="00000000" w:rsidDel="00000000" w:rsidP="00000000" w:rsidRDefault="00000000" w:rsidRPr="00000000" w14:paraId="00000045">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Ask students to participate in a think-pair-share to determine what strategies are most important when making a proof for an isosceles triangle. Have the students discuss and narrow the list to three, such as: (1) review theorems and postulates, (2) review the properties of lines, angles, and triangles, and (3) establish the logical progressions. Assign a common problem for the pairs to solve with the three strategies. Ask matched pairs to review others’ ideas and to generate a discussion for the whole class.</w:t>
      </w:r>
    </w:p>
    <w:p w:rsidR="00000000" w:rsidDel="00000000" w:rsidP="00000000" w:rsidRDefault="00000000" w:rsidRPr="00000000" w14:paraId="00000046">
      <w:pPr>
        <w:pStyle w:val="Heading4"/>
        <w:keepNext w:val="0"/>
        <w:keepLines w:val="0"/>
        <w:spacing w:after="0" w:before="300" w:lineRule="auto"/>
        <w:ind w:left="1220" w:firstLine="0"/>
        <w:rPr>
          <w:rFonts w:ascii="Times New Roman" w:cs="Times New Roman" w:eastAsia="Times New Roman" w:hAnsi="Times New Roman"/>
          <w:b w:val="1"/>
          <w:color w:val="3c3c3c"/>
          <w:sz w:val="38"/>
          <w:szCs w:val="38"/>
          <w:shd w:fill="fafafa" w:val="clear"/>
        </w:rPr>
      </w:pPr>
      <w:bookmarkStart w:colFirst="0" w:colLast="0" w:name="_mdpu8co0qfar" w:id="11"/>
      <w:bookmarkEnd w:id="11"/>
      <w:r w:rsidDel="00000000" w:rsidR="00000000" w:rsidRPr="00000000">
        <w:rPr>
          <w:rFonts w:ascii="Times New Roman" w:cs="Times New Roman" w:eastAsia="Times New Roman" w:hAnsi="Times New Roman"/>
          <w:b w:val="1"/>
          <w:color w:val="3c3c3c"/>
          <w:sz w:val="38"/>
          <w:szCs w:val="38"/>
          <w:shd w:fill="fafafa" w:val="clear"/>
          <w:rtl w:val="0"/>
        </w:rPr>
        <w:t xml:space="preserve">CCSS Performance Task Lesson</w:t>
      </w:r>
    </w:p>
    <w:p w:rsidR="00000000" w:rsidDel="00000000" w:rsidP="00000000" w:rsidRDefault="00000000" w:rsidRPr="00000000" w14:paraId="00000047">
      <w:pPr>
        <w:spacing w:before="40" w:lineRule="auto"/>
        <w:rPr>
          <w:rFonts w:ascii="Times New Roman" w:cs="Times New Roman" w:eastAsia="Times New Roman" w:hAnsi="Times New Roman"/>
          <w:b w:val="1"/>
          <w:color w:val="3c3c3c"/>
          <w:sz w:val="38"/>
          <w:szCs w:val="38"/>
          <w:shd w:fill="fafafa" w:val="clear"/>
        </w:rPr>
      </w:pPr>
      <w:r w:rsidDel="00000000" w:rsidR="00000000" w:rsidRPr="00000000">
        <w:rPr>
          <w:rFonts w:ascii="Times New Roman" w:cs="Times New Roman" w:eastAsia="Times New Roman" w:hAnsi="Times New Roman"/>
          <w:b w:val="1"/>
          <w:color w:val="3c3c3c"/>
          <w:sz w:val="38"/>
          <w:szCs w:val="38"/>
          <w:shd w:fill="fafafa" w:val="clear"/>
        </w:rPr>
        <w:drawing>
          <wp:inline distB="114300" distT="114300" distL="114300" distR="114300">
            <wp:extent cx="635000" cy="635000"/>
            <wp:effectExtent b="0" l="0" r="0" t="0"/>
            <wp:docPr descr="images" id="16" name="image16.png"/>
            <a:graphic>
              <a:graphicData uri="http://schemas.openxmlformats.org/drawingml/2006/picture">
                <pic:pic>
                  <pic:nvPicPr>
                    <pic:cNvPr descr="images" id="0" name="image16.png"/>
                    <pic:cNvPicPr preferRelativeResize="0"/>
                  </pic:nvPicPr>
                  <pic:blipFill>
                    <a:blip r:embed="rId19"/>
                    <a:srcRect b="0" l="0" r="0" t="0"/>
                    <a:stretch>
                      <a:fillRect/>
                    </a:stretch>
                  </pic:blipFill>
                  <pic:spPr>
                    <a:xfrm>
                      <a:off x="0" y="0"/>
                      <a:ext cx="6350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ind w:firstLine="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During the Drive-Through, phase III, the thinking skill is transferred to authentic applications using CCSS performance tasks, allowing educators to make a direct connection between the selected thinking skill and the new standards. To deepen students’ confidence with this skill, the teacher facilitates the student work, moving the students closer and closer to independent practice. Once the students are able to employ the skill independently, they are ready to transfer it across the curriculum. (For additional performance tasks, browse Common Core State Standards, Performance Tasks, </w:t>
      </w:r>
      <w:hyperlink r:id="rId20">
        <w:r w:rsidDel="00000000" w:rsidR="00000000" w:rsidRPr="00000000">
          <w:rPr>
            <w:rFonts w:ascii="Times New Roman" w:cs="Times New Roman" w:eastAsia="Times New Roman" w:hAnsi="Times New Roman"/>
            <w:color w:val="1155cc"/>
            <w:sz w:val="24"/>
            <w:szCs w:val="24"/>
            <w:u w:val="single"/>
            <w:shd w:fill="fafafa" w:val="clear"/>
            <w:rtl w:val="0"/>
          </w:rPr>
          <w:t xml:space="preserve">Appendix B</w:t>
        </w:r>
      </w:hyperlink>
      <w:r w:rsidDel="00000000" w:rsidR="00000000" w:rsidRPr="00000000">
        <w:rPr>
          <w:rFonts w:ascii="Times New Roman" w:cs="Times New Roman" w:eastAsia="Times New Roman" w:hAnsi="Times New Roman"/>
          <w:color w:val="3c3c3c"/>
          <w:sz w:val="24"/>
          <w:szCs w:val="24"/>
          <w:shd w:fill="fafafa" w:val="clear"/>
          <w:rtl w:val="0"/>
        </w:rPr>
        <w:t xml:space="preserve"> [NGA &amp; CCSSO, 2010b].)</w:t>
      </w:r>
    </w:p>
    <w:p w:rsidR="00000000" w:rsidDel="00000000" w:rsidP="00000000" w:rsidRDefault="00000000" w:rsidRPr="00000000" w14:paraId="00000049">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bm2xhmsrd9l8" w:id="12"/>
      <w:bookmarkEnd w:id="12"/>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13" name="image13.png"/>
            <a:graphic>
              <a:graphicData uri="http://schemas.openxmlformats.org/drawingml/2006/picture">
                <pic:pic>
                  <pic:nvPicPr>
                    <pic:cNvPr descr="images" id="0" name="image13.png"/>
                    <pic:cNvPicPr preferRelativeResize="0"/>
                  </pic:nvPicPr>
                  <pic:blipFill>
                    <a:blip r:embed="rId21"/>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Elementary Level</w:t>
      </w:r>
    </w:p>
    <w:p w:rsidR="00000000" w:rsidDel="00000000" w:rsidP="00000000" w:rsidRDefault="00000000" w:rsidRPr="00000000" w14:paraId="0000004A">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RL.4.5 (Reading: Literature, grade 4, standard 5):</w:t>
      </w:r>
    </w:p>
    <w:p w:rsidR="00000000" w:rsidDel="00000000" w:rsidP="00000000" w:rsidRDefault="00000000" w:rsidRPr="00000000" w14:paraId="0000004B">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refer to the structural elements (e.g., verse, rhythm, meter) of</w:t>
      </w:r>
      <w:r w:rsidDel="00000000" w:rsidR="00000000" w:rsidRPr="00000000">
        <w:rPr>
          <w:rFonts w:ascii="Times New Roman" w:cs="Times New Roman" w:eastAsia="Times New Roman" w:hAnsi="Times New Roman"/>
          <w:color w:val="3c3c3c"/>
          <w:shd w:fill="fafafa" w:val="clear"/>
          <w:rtl w:val="0"/>
        </w:rPr>
        <w:t xml:space="preserve"> Ernest Lawrence Thayer’s “Casey at the Bat” when analyzing the </w:t>
      </w:r>
      <w:r w:rsidDel="00000000" w:rsidR="00000000" w:rsidRPr="00000000">
        <w:rPr>
          <w:rFonts w:ascii="Times New Roman" w:cs="Times New Roman" w:eastAsia="Times New Roman" w:hAnsi="Times New Roman"/>
          <w:i w:val="1"/>
          <w:color w:val="3c3c3c"/>
          <w:shd w:fill="fafafa" w:val="clear"/>
          <w:rtl w:val="0"/>
        </w:rPr>
        <w:t xml:space="preserve">poem</w:t>
      </w:r>
      <w:r w:rsidDel="00000000" w:rsidR="00000000" w:rsidRPr="00000000">
        <w:rPr>
          <w:rFonts w:ascii="Times New Roman" w:cs="Times New Roman" w:eastAsia="Times New Roman" w:hAnsi="Times New Roman"/>
          <w:color w:val="3c3c3c"/>
          <w:shd w:fill="fafafa" w:val="clear"/>
          <w:rtl w:val="0"/>
        </w:rPr>
        <w:t xml:space="preserve"> and contrasting the impact and </w:t>
      </w:r>
      <w:r w:rsidDel="00000000" w:rsidR="00000000" w:rsidRPr="00000000">
        <w:rPr>
          <w:rFonts w:ascii="Times New Roman" w:cs="Times New Roman" w:eastAsia="Times New Roman" w:hAnsi="Times New Roman"/>
          <w:i w:val="1"/>
          <w:color w:val="3c3c3c"/>
          <w:shd w:fill="fafafa" w:val="clear"/>
          <w:rtl w:val="0"/>
        </w:rPr>
        <w:t xml:space="preserve">differences</w:t>
      </w:r>
      <w:r w:rsidDel="00000000" w:rsidR="00000000" w:rsidRPr="00000000">
        <w:rPr>
          <w:rFonts w:ascii="Times New Roman" w:cs="Times New Roman" w:eastAsia="Times New Roman" w:hAnsi="Times New Roman"/>
          <w:color w:val="3c3c3c"/>
          <w:shd w:fill="fafafa" w:val="clear"/>
          <w:rtl w:val="0"/>
        </w:rPr>
        <w:t xml:space="preserve"> of those </w:t>
      </w:r>
      <w:r w:rsidDel="00000000" w:rsidR="00000000" w:rsidRPr="00000000">
        <w:rPr>
          <w:rFonts w:ascii="Times New Roman" w:cs="Times New Roman" w:eastAsia="Times New Roman" w:hAnsi="Times New Roman"/>
          <w:i w:val="1"/>
          <w:color w:val="3c3c3c"/>
          <w:shd w:fill="fafafa" w:val="clear"/>
          <w:rtl w:val="0"/>
        </w:rPr>
        <w:t xml:space="preserve">elements</w:t>
      </w:r>
      <w:r w:rsidDel="00000000" w:rsidR="00000000" w:rsidRPr="00000000">
        <w:rPr>
          <w:rFonts w:ascii="Times New Roman" w:cs="Times New Roman" w:eastAsia="Times New Roman" w:hAnsi="Times New Roman"/>
          <w:color w:val="3c3c3c"/>
          <w:shd w:fill="fafafa" w:val="clear"/>
          <w:rtl w:val="0"/>
        </w:rPr>
        <w:t xml:space="preserve"> to a </w:t>
      </w:r>
      <w:r w:rsidDel="00000000" w:rsidR="00000000" w:rsidRPr="00000000">
        <w:rPr>
          <w:rFonts w:ascii="Times New Roman" w:cs="Times New Roman" w:eastAsia="Times New Roman" w:hAnsi="Times New Roman"/>
          <w:i w:val="1"/>
          <w:color w:val="3c3c3c"/>
          <w:shd w:fill="fafafa" w:val="clear"/>
          <w:rtl w:val="0"/>
        </w:rPr>
        <w:t xml:space="preserve">prose</w:t>
      </w:r>
      <w:r w:rsidDel="00000000" w:rsidR="00000000" w:rsidRPr="00000000">
        <w:rPr>
          <w:rFonts w:ascii="Times New Roman" w:cs="Times New Roman" w:eastAsia="Times New Roman" w:hAnsi="Times New Roman"/>
          <w:color w:val="3c3c3c"/>
          <w:shd w:fill="fafafa" w:val="clear"/>
          <w:rtl w:val="0"/>
        </w:rPr>
        <w:t xml:space="preserve"> summary of the </w:t>
      </w:r>
      <w:r w:rsidDel="00000000" w:rsidR="00000000" w:rsidRPr="00000000">
        <w:rPr>
          <w:rFonts w:ascii="Times New Roman" w:cs="Times New Roman" w:eastAsia="Times New Roman" w:hAnsi="Times New Roman"/>
          <w:i w:val="1"/>
          <w:color w:val="3c3c3c"/>
          <w:shd w:fill="fafafa" w:val="clear"/>
          <w:rtl w:val="0"/>
        </w:rPr>
        <w:t xml:space="preserve">poem</w:t>
      </w:r>
      <w:r w:rsidDel="00000000" w:rsidR="00000000" w:rsidRPr="00000000">
        <w:rPr>
          <w:rFonts w:ascii="Times New Roman" w:cs="Times New Roman" w:eastAsia="Times New Roman" w:hAnsi="Times New Roman"/>
          <w:color w:val="3c3c3c"/>
          <w:shd w:fill="fafafa" w:val="clear"/>
          <w:rtl w:val="0"/>
        </w:rPr>
        <w:t xml:space="preserve">. (NGA &amp; CCSSO, 2010b, p. 70)</w:t>
      </w:r>
    </w:p>
    <w:p w:rsidR="00000000" w:rsidDel="00000000" w:rsidP="00000000" w:rsidRDefault="00000000" w:rsidRPr="00000000" w14:paraId="0000004C">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jrnvj1fwqod" w:id="13"/>
      <w:bookmarkEnd w:id="13"/>
      <w:r w:rsidDel="00000000" w:rsidR="00000000" w:rsidRPr="00000000">
        <w:rPr>
          <w:rFonts w:ascii="Times New Roman" w:cs="Times New Roman" w:eastAsia="Times New Roman" w:hAnsi="Times New Roman"/>
          <w:i w:val="0"/>
          <w:color w:val="3c3c3c"/>
          <w:shd w:fill="fafafa" w:val="clear"/>
        </w:rPr>
        <w:drawing>
          <wp:inline distB="114300" distT="114300" distL="114300" distR="114300">
            <wp:extent cx="635000" cy="635000"/>
            <wp:effectExtent b="0" l="0" r="0" t="0"/>
            <wp:docPr descr="images" id="9" name="image9.png"/>
            <a:graphic>
              <a:graphicData uri="http://schemas.openxmlformats.org/drawingml/2006/picture">
                <pic:pic>
                  <pic:nvPicPr>
                    <pic:cNvPr descr="images" id="0" name="image9.png"/>
                    <pic:cNvPicPr preferRelativeResize="0"/>
                  </pic:nvPicPr>
                  <pic:blipFill>
                    <a:blip r:embed="rId22"/>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Middle Level</w:t>
      </w:r>
    </w:p>
    <w:p w:rsidR="00000000" w:rsidDel="00000000" w:rsidP="00000000" w:rsidRDefault="00000000" w:rsidRPr="00000000" w14:paraId="0000004D">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RI.6.3 (Reading: Informational Text, grade 6, standard 3):</w:t>
      </w:r>
    </w:p>
    <w:p w:rsidR="00000000" w:rsidDel="00000000" w:rsidP="00000000" w:rsidRDefault="00000000" w:rsidRPr="00000000" w14:paraId="0000004E">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analyze in detail how</w:t>
      </w:r>
      <w:r w:rsidDel="00000000" w:rsidR="00000000" w:rsidRPr="00000000">
        <w:rPr>
          <w:rFonts w:ascii="Times New Roman" w:cs="Times New Roman" w:eastAsia="Times New Roman" w:hAnsi="Times New Roman"/>
          <w:color w:val="3c3c3c"/>
          <w:shd w:fill="fafafa" w:val="clear"/>
          <w:rtl w:val="0"/>
        </w:rPr>
        <w:t xml:space="preserve"> the early years of Harriet Tubman (as related by author Ann Petry) contributed to her later becoming a conductor on the Underground Railroad, attending to how the author </w:t>
      </w:r>
      <w:r w:rsidDel="00000000" w:rsidR="00000000" w:rsidRPr="00000000">
        <w:rPr>
          <w:rFonts w:ascii="Times New Roman" w:cs="Times New Roman" w:eastAsia="Times New Roman" w:hAnsi="Times New Roman"/>
          <w:i w:val="1"/>
          <w:color w:val="3c3c3c"/>
          <w:shd w:fill="fafafa" w:val="clear"/>
          <w:rtl w:val="0"/>
        </w:rPr>
        <w:t xml:space="preserve">introduces, illustrates, and elaborates</w:t>
      </w:r>
      <w:r w:rsidDel="00000000" w:rsidR="00000000" w:rsidRPr="00000000">
        <w:rPr>
          <w:rFonts w:ascii="Times New Roman" w:cs="Times New Roman" w:eastAsia="Times New Roman" w:hAnsi="Times New Roman"/>
          <w:color w:val="3c3c3c"/>
          <w:shd w:fill="fafafa" w:val="clear"/>
          <w:rtl w:val="0"/>
        </w:rPr>
        <w:t xml:space="preserve"> upon the events in Tubman’s life. (NGA &amp; CCSSO, 2010b, p. 93)</w:t>
      </w:r>
    </w:p>
    <w:p w:rsidR="00000000" w:rsidDel="00000000" w:rsidP="00000000" w:rsidRDefault="00000000" w:rsidRPr="00000000" w14:paraId="0000004F">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qosmdy38q842" w:id="14"/>
      <w:bookmarkEnd w:id="14"/>
      <w:r w:rsidDel="00000000" w:rsidR="00000000" w:rsidRPr="00000000">
        <w:rPr>
          <w:rFonts w:ascii="Times New Roman" w:cs="Times New Roman" w:eastAsia="Times New Roman" w:hAnsi="Times New Roman"/>
          <w:i w:val="0"/>
          <w:color w:val="3c3c3c"/>
          <w:shd w:fill="fafafa" w:val="clear"/>
        </w:rPr>
        <w:drawing>
          <wp:inline distB="114300" distT="114300" distL="114300" distR="114300">
            <wp:extent cx="635000" cy="635000"/>
            <wp:effectExtent b="0" l="0" r="0" t="0"/>
            <wp:docPr descr="images" id="1" name="image1.png"/>
            <a:graphic>
              <a:graphicData uri="http://schemas.openxmlformats.org/drawingml/2006/picture">
                <pic:pic>
                  <pic:nvPicPr>
                    <pic:cNvPr descr="images" id="0" name="image1.png"/>
                    <pic:cNvPicPr preferRelativeResize="0"/>
                  </pic:nvPicPr>
                  <pic:blipFill>
                    <a:blip r:embed="rId23"/>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Secondary Level</w:t>
      </w:r>
    </w:p>
    <w:p w:rsidR="00000000" w:rsidDel="00000000" w:rsidP="00000000" w:rsidRDefault="00000000" w:rsidRPr="00000000" w14:paraId="00000050">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RST.9–10.1 (Science &amp; Technical Subjects, grades 9–10, standard 1):</w:t>
      </w:r>
    </w:p>
    <w:p w:rsidR="00000000" w:rsidDel="00000000" w:rsidP="00000000" w:rsidRDefault="00000000" w:rsidRPr="00000000" w14:paraId="00000051">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cite specific textual evidence</w:t>
      </w:r>
      <w:r w:rsidDel="00000000" w:rsidR="00000000" w:rsidRPr="00000000">
        <w:rPr>
          <w:rFonts w:ascii="Times New Roman" w:cs="Times New Roman" w:eastAsia="Times New Roman" w:hAnsi="Times New Roman"/>
          <w:color w:val="3c3c3c"/>
          <w:shd w:fill="fafafa" w:val="clear"/>
          <w:rtl w:val="0"/>
        </w:rPr>
        <w:t xml:space="preserve"> from Annie J. Cannon’s “Classifying the Stars” to </w:t>
      </w:r>
      <w:r w:rsidDel="00000000" w:rsidR="00000000" w:rsidRPr="00000000">
        <w:rPr>
          <w:rFonts w:ascii="Times New Roman" w:cs="Times New Roman" w:eastAsia="Times New Roman" w:hAnsi="Times New Roman"/>
          <w:i w:val="1"/>
          <w:color w:val="3c3c3c"/>
          <w:shd w:fill="fafafa" w:val="clear"/>
          <w:rtl w:val="0"/>
        </w:rPr>
        <w:t xml:space="preserve">support</w:t>
      </w:r>
      <w:r w:rsidDel="00000000" w:rsidR="00000000" w:rsidRPr="00000000">
        <w:rPr>
          <w:rFonts w:ascii="Times New Roman" w:cs="Times New Roman" w:eastAsia="Times New Roman" w:hAnsi="Times New Roman"/>
          <w:color w:val="3c3c3c"/>
          <w:shd w:fill="fafafa" w:val="clear"/>
          <w:rtl w:val="0"/>
        </w:rPr>
        <w:t xml:space="preserve"> their </w:t>
      </w:r>
      <w:r w:rsidDel="00000000" w:rsidR="00000000" w:rsidRPr="00000000">
        <w:rPr>
          <w:rFonts w:ascii="Times New Roman" w:cs="Times New Roman" w:eastAsia="Times New Roman" w:hAnsi="Times New Roman"/>
          <w:i w:val="1"/>
          <w:color w:val="3c3c3c"/>
          <w:shd w:fill="fafafa" w:val="clear"/>
          <w:rtl w:val="0"/>
        </w:rPr>
        <w:t xml:space="preserve">analysis</w:t>
      </w:r>
      <w:r w:rsidDel="00000000" w:rsidR="00000000" w:rsidRPr="00000000">
        <w:rPr>
          <w:rFonts w:ascii="Times New Roman" w:cs="Times New Roman" w:eastAsia="Times New Roman" w:hAnsi="Times New Roman"/>
          <w:color w:val="3c3c3c"/>
          <w:shd w:fill="fafafa" w:val="clear"/>
          <w:rtl w:val="0"/>
        </w:rPr>
        <w:t xml:space="preserve"> of the scientific importance of the discovery that light is composed of many colors. Students </w:t>
      </w:r>
      <w:r w:rsidDel="00000000" w:rsidR="00000000" w:rsidRPr="00000000">
        <w:rPr>
          <w:rFonts w:ascii="Times New Roman" w:cs="Times New Roman" w:eastAsia="Times New Roman" w:hAnsi="Times New Roman"/>
          <w:i w:val="1"/>
          <w:color w:val="3c3c3c"/>
          <w:shd w:fill="fafafa" w:val="clear"/>
          <w:rtl w:val="0"/>
        </w:rPr>
        <w:t xml:space="preserve">include</w:t>
      </w:r>
      <w:r w:rsidDel="00000000" w:rsidR="00000000" w:rsidRPr="00000000">
        <w:rPr>
          <w:rFonts w:ascii="Times New Roman" w:cs="Times New Roman" w:eastAsia="Times New Roman" w:hAnsi="Times New Roman"/>
          <w:color w:val="3c3c3c"/>
          <w:shd w:fill="fafafa" w:val="clear"/>
          <w:rtl w:val="0"/>
        </w:rPr>
        <w:t xml:space="preserve"> in their </w:t>
      </w:r>
      <w:r w:rsidDel="00000000" w:rsidR="00000000" w:rsidRPr="00000000">
        <w:rPr>
          <w:rFonts w:ascii="Times New Roman" w:cs="Times New Roman" w:eastAsia="Times New Roman" w:hAnsi="Times New Roman"/>
          <w:i w:val="1"/>
          <w:color w:val="3c3c3c"/>
          <w:shd w:fill="fafafa" w:val="clear"/>
          <w:rtl w:val="0"/>
        </w:rPr>
        <w:t xml:space="preserve">analysis precise details</w:t>
      </w:r>
      <w:r w:rsidDel="00000000" w:rsidR="00000000" w:rsidRPr="00000000">
        <w:rPr>
          <w:rFonts w:ascii="Times New Roman" w:cs="Times New Roman" w:eastAsia="Times New Roman" w:hAnsi="Times New Roman"/>
          <w:color w:val="3c3c3c"/>
          <w:shd w:fill="fafafa" w:val="clear"/>
          <w:rtl w:val="0"/>
        </w:rPr>
        <w:t xml:space="preserve"> from the text (such as Cannon’s repeated use of the image of the rainbow) to buttress their explanation. (NGA &amp; CCSSO, 2010b, p. 138)</w:t>
      </w:r>
    </w:p>
    <w:p w:rsidR="00000000" w:rsidDel="00000000" w:rsidP="00000000" w:rsidRDefault="00000000" w:rsidRPr="00000000" w14:paraId="00000052">
      <w:pPr>
        <w:pStyle w:val="Heading4"/>
        <w:keepNext w:val="0"/>
        <w:keepLines w:val="0"/>
        <w:spacing w:after="0" w:before="300" w:lineRule="auto"/>
        <w:rPr>
          <w:rFonts w:ascii="Times New Roman" w:cs="Times New Roman" w:eastAsia="Times New Roman" w:hAnsi="Times New Roman"/>
          <w:b w:val="1"/>
          <w:color w:val="3c3c3c"/>
          <w:sz w:val="38"/>
          <w:szCs w:val="38"/>
          <w:shd w:fill="fafafa" w:val="clear"/>
        </w:rPr>
      </w:pPr>
      <w:bookmarkStart w:colFirst="0" w:colLast="0" w:name="_a9dhwyice2tx" w:id="15"/>
      <w:bookmarkEnd w:id="15"/>
      <w:r w:rsidDel="00000000" w:rsidR="00000000" w:rsidRPr="00000000">
        <w:rPr>
          <w:rFonts w:ascii="Times New Roman" w:cs="Times New Roman" w:eastAsia="Times New Roman" w:hAnsi="Times New Roman"/>
          <w:b w:val="1"/>
          <w:color w:val="3c3c3c"/>
          <w:sz w:val="38"/>
          <w:szCs w:val="38"/>
          <w:shd w:fill="fafafa" w:val="clear"/>
          <w:rtl w:val="0"/>
        </w:rPr>
        <w:t xml:space="preserve">Reflection Questions</w:t>
      </w:r>
    </w:p>
    <w:p w:rsidR="00000000" w:rsidDel="00000000" w:rsidP="00000000" w:rsidRDefault="00000000" w:rsidRPr="00000000" w14:paraId="00000053">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These questions are designed to enrich your learning from doing. Such reflection enables you to deepen your understanding of the lessons you have just provided. You might also consider modifying these questions to further guide your students’ reflection on this thinking skill.</w:t>
      </w:r>
    </w:p>
    <w:p w:rsidR="00000000" w:rsidDel="00000000" w:rsidP="00000000" w:rsidRDefault="00000000" w:rsidRPr="00000000" w14:paraId="00000054">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1.   How does the skill of analyzing connect to something you already do in your classroom?</w:t>
      </w:r>
    </w:p>
    <w:p w:rsidR="00000000" w:rsidDel="00000000" w:rsidP="00000000" w:rsidRDefault="00000000" w:rsidRPr="00000000" w14:paraId="00000055">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2.   How might you integrate this skill more explicitly in your lessons?</w:t>
      </w:r>
    </w:p>
    <w:p w:rsidR="00000000" w:rsidDel="00000000" w:rsidP="00000000" w:rsidRDefault="00000000" w:rsidRPr="00000000" w14:paraId="00000056">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3.   What is the most helpful takeaway concerning this critical thinking skill?</w:t>
      </w:r>
    </w:p>
    <w:p w:rsidR="00000000" w:rsidDel="00000000" w:rsidP="00000000" w:rsidRDefault="00000000" w:rsidRPr="00000000" w14:paraId="00000057">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4.   What will you do to help students become better with this skill? Be specific.</w:t>
      </w:r>
    </w:p>
    <w:p w:rsidR="00000000" w:rsidDel="00000000" w:rsidP="00000000" w:rsidRDefault="00000000" w:rsidRPr="00000000" w14:paraId="00000058">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5.   How might you “take apart” or “analyze” the Common Core State Standards? Where would you start? What questions and criteria would you have to consider before attempting the task?</w:t>
      </w:r>
    </w:p>
    <w:p w:rsidR="00000000" w:rsidDel="00000000" w:rsidP="00000000" w:rsidRDefault="00000000" w:rsidRPr="00000000" w14:paraId="00000059">
      <w:pPr>
        <w:ind w:left="0" w:firstLine="0"/>
        <w:rPr>
          <w:rFonts w:ascii="Times New Roman" w:cs="Times New Roman" w:eastAsia="Times New Roman" w:hAnsi="Times New Roman"/>
          <w:color w:val="3c3c3c"/>
          <w:sz w:val="24"/>
          <w:szCs w:val="24"/>
          <w:shd w:fill="fafafa" w:val="clear"/>
        </w:rPr>
      </w:pPr>
      <w:r w:rsidDel="00000000" w:rsidR="00000000" w:rsidRPr="00000000">
        <w:rPr>
          <w:rtl w:val="0"/>
        </w:rPr>
      </w:r>
    </w:p>
    <w:p w:rsidR="00000000" w:rsidDel="00000000" w:rsidP="00000000" w:rsidRDefault="00000000" w:rsidRPr="00000000" w14:paraId="0000005A">
      <w:pPr>
        <w:ind w:left="0" w:firstLine="0"/>
        <w:rPr>
          <w:rFonts w:ascii="Roboto" w:cs="Roboto" w:eastAsia="Roboto" w:hAnsi="Roboto"/>
          <w:color w:val="3c3c3c"/>
          <w:sz w:val="21"/>
          <w:szCs w:val="21"/>
          <w:shd w:fill="fafafa" w:val="clear"/>
        </w:rPr>
      </w:pPr>
      <w:r w:rsidDel="00000000" w:rsidR="00000000" w:rsidRPr="00000000">
        <w:rPr>
          <w:rFonts w:ascii="Roboto" w:cs="Roboto" w:eastAsia="Roboto" w:hAnsi="Roboto"/>
          <w:color w:val="3c3c3c"/>
          <w:sz w:val="21"/>
          <w:szCs w:val="21"/>
          <w:shd w:fill="fafafa" w:val="clear"/>
          <w:rtl w:val="0"/>
        </w:rPr>
        <w:t xml:space="preserve">Example 4-1 chaper 1</w:t>
      </w:r>
    </w:p>
    <w:p w:rsidR="00000000" w:rsidDel="00000000" w:rsidP="00000000" w:rsidRDefault="00000000" w:rsidRPr="00000000" w14:paraId="0000005B">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5C">
      <w:pPr>
        <w:ind w:firstLine="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In the Walk-Through, phase II, teachers practice the thinking skill within content-based lessons, providing guidance to ensure the proper application of the skill. ELA Standard 10 recommends literature and instructional texts that are available for coupling with grade-level lessons.</w:t>
      </w:r>
    </w:p>
    <w:p w:rsidR="00000000" w:rsidDel="00000000" w:rsidP="00000000" w:rsidRDefault="00000000" w:rsidRPr="00000000" w14:paraId="0000005D">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bs9q301twqho" w:id="16"/>
      <w:bookmarkEnd w:id="16"/>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10" name="image10.png"/>
            <a:graphic>
              <a:graphicData uri="http://schemas.openxmlformats.org/drawingml/2006/picture">
                <pic:pic>
                  <pic:nvPicPr>
                    <pic:cNvPr descr="images" id="0" name="image10.png"/>
                    <pic:cNvPicPr preferRelativeResize="0"/>
                  </pic:nvPicPr>
                  <pic:blipFill>
                    <a:blip r:embed="rId24"/>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Elementary Level</w:t>
      </w:r>
    </w:p>
    <w:p w:rsidR="00000000" w:rsidDel="00000000" w:rsidP="00000000" w:rsidRDefault="00000000" w:rsidRPr="00000000" w14:paraId="0000005E">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Ask students to generate word cards associated with a target word. For example, the target word might be </w:t>
      </w:r>
      <w:r w:rsidDel="00000000" w:rsidR="00000000" w:rsidRPr="00000000">
        <w:rPr>
          <w:rFonts w:ascii="Times New Roman" w:cs="Times New Roman" w:eastAsia="Times New Roman" w:hAnsi="Times New Roman"/>
          <w:i w:val="1"/>
          <w:color w:val="3c3c3c"/>
          <w:sz w:val="24"/>
          <w:szCs w:val="24"/>
          <w:shd w:fill="fafafa" w:val="clear"/>
          <w:rtl w:val="0"/>
        </w:rPr>
        <w:t xml:space="preserve">community, mammals, family</w:t>
      </w:r>
      <w:r w:rsidDel="00000000" w:rsidR="00000000" w:rsidRPr="00000000">
        <w:rPr>
          <w:rFonts w:ascii="Times New Roman" w:cs="Times New Roman" w:eastAsia="Times New Roman" w:hAnsi="Times New Roman"/>
          <w:color w:val="3c3c3c"/>
          <w:sz w:val="24"/>
          <w:szCs w:val="24"/>
          <w:shd w:fill="fafafa" w:val="clear"/>
          <w:rtl w:val="0"/>
        </w:rPr>
        <w:t xml:space="preserve">, or </w:t>
      </w:r>
      <w:r w:rsidDel="00000000" w:rsidR="00000000" w:rsidRPr="00000000">
        <w:rPr>
          <w:rFonts w:ascii="Times New Roman" w:cs="Times New Roman" w:eastAsia="Times New Roman" w:hAnsi="Times New Roman"/>
          <w:i w:val="1"/>
          <w:color w:val="3c3c3c"/>
          <w:sz w:val="24"/>
          <w:szCs w:val="24"/>
          <w:shd w:fill="fafafa" w:val="clear"/>
          <w:rtl w:val="0"/>
        </w:rPr>
        <w:t xml:space="preserve">addition</w:t>
      </w:r>
      <w:r w:rsidDel="00000000" w:rsidR="00000000" w:rsidRPr="00000000">
        <w:rPr>
          <w:rFonts w:ascii="Times New Roman" w:cs="Times New Roman" w:eastAsia="Times New Roman" w:hAnsi="Times New Roman"/>
          <w:color w:val="3c3c3c"/>
          <w:sz w:val="24"/>
          <w:szCs w:val="24"/>
          <w:shd w:fill="fafafa" w:val="clear"/>
          <w:rtl w:val="0"/>
        </w:rPr>
        <w:t xml:space="preserve">. Students generate as many cards as they can and post them on the wall randomly. Then, in teams of two, they arrange the words in alphabetical order. Finally, each looks over the entire list, selects one word, and makes a picture for the student-generated word wall.</w:t>
      </w:r>
    </w:p>
    <w:p w:rsidR="00000000" w:rsidDel="00000000" w:rsidP="00000000" w:rsidRDefault="00000000" w:rsidRPr="00000000" w14:paraId="0000005F">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po94zeh1vfif" w:id="17"/>
      <w:bookmarkEnd w:id="17"/>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11" name="image11.png"/>
            <a:graphic>
              <a:graphicData uri="http://schemas.openxmlformats.org/drawingml/2006/picture">
                <pic:pic>
                  <pic:nvPicPr>
                    <pic:cNvPr descr="images" id="0" name="image11.png"/>
                    <pic:cNvPicPr preferRelativeResize="0"/>
                  </pic:nvPicPr>
                  <pic:blipFill>
                    <a:blip r:embed="rId25"/>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Middle Level</w:t>
      </w:r>
    </w:p>
    <w:p w:rsidR="00000000" w:rsidDel="00000000" w:rsidP="00000000" w:rsidRDefault="00000000" w:rsidRPr="00000000" w14:paraId="00000060">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Ask the students to generate a web of green ideas for the community. Divide the students into groups of three, and instruct each group to choose one idea, research it, find a community agency to sponsor them or partner with them, and plan a service project to put into action.</w:t>
      </w:r>
    </w:p>
    <w:p w:rsidR="00000000" w:rsidDel="00000000" w:rsidP="00000000" w:rsidRDefault="00000000" w:rsidRPr="00000000" w14:paraId="00000061">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kzgzobef75va" w:id="18"/>
      <w:bookmarkEnd w:id="18"/>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7" name="image7.png"/>
            <a:graphic>
              <a:graphicData uri="http://schemas.openxmlformats.org/drawingml/2006/picture">
                <pic:pic>
                  <pic:nvPicPr>
                    <pic:cNvPr descr="images" id="0" name="image7.png"/>
                    <pic:cNvPicPr preferRelativeResize="0"/>
                  </pic:nvPicPr>
                  <pic:blipFill>
                    <a:blip r:embed="rId26"/>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Secondary Level</w:t>
      </w:r>
    </w:p>
    <w:p w:rsidR="00000000" w:rsidDel="00000000" w:rsidP="00000000" w:rsidRDefault="00000000" w:rsidRPr="00000000" w14:paraId="00000062">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Ask freshmen to list all the factors that impact student achievement. They should gather data on each factor, prioritize the factors by frequency or impact, and develop a student-friendly multimedia presentation to share with next year’s incoming freshman class.</w:t>
      </w:r>
    </w:p>
    <w:p w:rsidR="00000000" w:rsidDel="00000000" w:rsidP="00000000" w:rsidRDefault="00000000" w:rsidRPr="00000000" w14:paraId="00000063">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64">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65">
      <w:pPr>
        <w:ind w:firstLine="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uring the Drive-Through, phase III, the thinking skill is transferred to authentic applications using CCSS performance tasks, allowing educators to make a direct connection between the selected thinking skill and the new standards. To deepen students’ confidence with this skill, the teacher facilitates the student work, moving the students closer and closer to independent practice. Once the students are able to employ the skill independently, they are ready to transfer it across the curriculum. In each example, the skill </w:t>
      </w:r>
      <w:r w:rsidDel="00000000" w:rsidR="00000000" w:rsidRPr="00000000">
        <w:rPr>
          <w:rFonts w:ascii="Times New Roman" w:cs="Times New Roman" w:eastAsia="Times New Roman" w:hAnsi="Times New Roman"/>
          <w:i w:val="1"/>
          <w:color w:val="3c3c3c"/>
          <w:sz w:val="24"/>
          <w:szCs w:val="24"/>
          <w:shd w:fill="fafafa" w:val="clear"/>
          <w:rtl w:val="0"/>
        </w:rPr>
        <w:t xml:space="preserve">generate</w:t>
      </w:r>
      <w:r w:rsidDel="00000000" w:rsidR="00000000" w:rsidRPr="00000000">
        <w:rPr>
          <w:rFonts w:ascii="Times New Roman" w:cs="Times New Roman" w:eastAsia="Times New Roman" w:hAnsi="Times New Roman"/>
          <w:color w:val="3c3c3c"/>
          <w:sz w:val="24"/>
          <w:szCs w:val="24"/>
          <w:shd w:fill="fafafa" w:val="clear"/>
          <w:rtl w:val="0"/>
        </w:rPr>
        <w:t xml:space="preserve"> is implied, not explicitly stated. (For additional performance tasks, browse Common Core State Standards, Performance Tasks, </w:t>
      </w:r>
      <w:hyperlink r:id="rId27">
        <w:r w:rsidDel="00000000" w:rsidR="00000000" w:rsidRPr="00000000">
          <w:rPr>
            <w:rFonts w:ascii="Times New Roman" w:cs="Times New Roman" w:eastAsia="Times New Roman" w:hAnsi="Times New Roman"/>
            <w:color w:val="1155cc"/>
            <w:sz w:val="24"/>
            <w:szCs w:val="24"/>
            <w:u w:val="single"/>
            <w:shd w:fill="fafafa" w:val="clear"/>
            <w:rtl w:val="0"/>
          </w:rPr>
          <w:t xml:space="preserve">Appendix B</w:t>
        </w:r>
      </w:hyperlink>
      <w:r w:rsidDel="00000000" w:rsidR="00000000" w:rsidRPr="00000000">
        <w:rPr>
          <w:rFonts w:ascii="Times New Roman" w:cs="Times New Roman" w:eastAsia="Times New Roman" w:hAnsi="Times New Roman"/>
          <w:color w:val="3c3c3c"/>
          <w:sz w:val="24"/>
          <w:szCs w:val="24"/>
          <w:shd w:fill="fafafa" w:val="clear"/>
          <w:rtl w:val="0"/>
        </w:rPr>
        <w:t xml:space="preserve"> [NGA &amp; CCSSO, 2010b].)</w:t>
      </w:r>
    </w:p>
    <w:p w:rsidR="00000000" w:rsidDel="00000000" w:rsidP="00000000" w:rsidRDefault="00000000" w:rsidRPr="00000000" w14:paraId="00000066">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9t1dto9ri2t2" w:id="19"/>
      <w:bookmarkEnd w:id="19"/>
      <w:r w:rsidDel="00000000" w:rsidR="00000000" w:rsidRPr="00000000">
        <w:rPr>
          <w:rFonts w:ascii="Times New Roman" w:cs="Times New Roman" w:eastAsia="Times New Roman" w:hAnsi="Times New Roman"/>
          <w:i w:val="0"/>
          <w:color w:val="3c3c3c"/>
          <w:sz w:val="24"/>
          <w:szCs w:val="24"/>
          <w:shd w:fill="fafafa" w:val="clear"/>
        </w:rPr>
        <w:drawing>
          <wp:inline distB="114300" distT="114300" distL="114300" distR="114300">
            <wp:extent cx="635000" cy="635000"/>
            <wp:effectExtent b="0" l="0" r="0" t="0"/>
            <wp:docPr descr="images" id="17" name="image17.png"/>
            <a:graphic>
              <a:graphicData uri="http://schemas.openxmlformats.org/drawingml/2006/picture">
                <pic:pic>
                  <pic:nvPicPr>
                    <pic:cNvPr descr="images" id="0" name="image17.png"/>
                    <pic:cNvPicPr preferRelativeResize="0"/>
                  </pic:nvPicPr>
                  <pic:blipFill>
                    <a:blip r:embed="rId28"/>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Elementary Level</w:t>
      </w:r>
    </w:p>
    <w:p w:rsidR="00000000" w:rsidDel="00000000" w:rsidP="00000000" w:rsidRDefault="00000000" w:rsidRPr="00000000" w14:paraId="00000067">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RI.4.4 (Reading: Informational Text, grade 4, standard 4):</w:t>
      </w:r>
    </w:p>
    <w:p w:rsidR="00000000" w:rsidDel="00000000" w:rsidP="00000000" w:rsidRDefault="00000000" w:rsidRPr="00000000" w14:paraId="00000068">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determine the meaning of domain-specific words or phrases</w:t>
      </w:r>
      <w:r w:rsidDel="00000000" w:rsidR="00000000" w:rsidRPr="00000000">
        <w:rPr>
          <w:rFonts w:ascii="Times New Roman" w:cs="Times New Roman" w:eastAsia="Times New Roman" w:hAnsi="Times New Roman"/>
          <w:color w:val="3c3c3c"/>
          <w:shd w:fill="fafafa" w:val="clear"/>
          <w:rtl w:val="0"/>
        </w:rPr>
        <w:t xml:space="preserve">, such as </w:t>
      </w:r>
      <w:r w:rsidDel="00000000" w:rsidR="00000000" w:rsidRPr="00000000">
        <w:rPr>
          <w:rFonts w:ascii="Times New Roman" w:cs="Times New Roman" w:eastAsia="Times New Roman" w:hAnsi="Times New Roman"/>
          <w:i w:val="1"/>
          <w:color w:val="3c3c3c"/>
          <w:shd w:fill="fafafa" w:val="clear"/>
          <w:rtl w:val="0"/>
        </w:rPr>
        <w:t xml:space="preserve">crust, mantle, magma</w:t>
      </w:r>
      <w:r w:rsidDel="00000000" w:rsidR="00000000" w:rsidRPr="00000000">
        <w:rPr>
          <w:rFonts w:ascii="Times New Roman" w:cs="Times New Roman" w:eastAsia="Times New Roman" w:hAnsi="Times New Roman"/>
          <w:color w:val="3c3c3c"/>
          <w:shd w:fill="fafafa" w:val="clear"/>
          <w:rtl w:val="0"/>
        </w:rPr>
        <w:t xml:space="preserve">, and </w:t>
      </w:r>
      <w:r w:rsidDel="00000000" w:rsidR="00000000" w:rsidRPr="00000000">
        <w:rPr>
          <w:rFonts w:ascii="Times New Roman" w:cs="Times New Roman" w:eastAsia="Times New Roman" w:hAnsi="Times New Roman"/>
          <w:i w:val="1"/>
          <w:color w:val="3c3c3c"/>
          <w:shd w:fill="fafafa" w:val="clear"/>
          <w:rtl w:val="0"/>
        </w:rPr>
        <w:t xml:space="preserve">lava</w:t>
      </w:r>
      <w:r w:rsidDel="00000000" w:rsidR="00000000" w:rsidRPr="00000000">
        <w:rPr>
          <w:rFonts w:ascii="Times New Roman" w:cs="Times New Roman" w:eastAsia="Times New Roman" w:hAnsi="Times New Roman"/>
          <w:color w:val="3c3c3c"/>
          <w:shd w:fill="fafafa" w:val="clear"/>
          <w:rtl w:val="0"/>
        </w:rPr>
        <w:t xml:space="preserve">, and important </w:t>
      </w:r>
      <w:r w:rsidDel="00000000" w:rsidR="00000000" w:rsidRPr="00000000">
        <w:rPr>
          <w:rFonts w:ascii="Times New Roman" w:cs="Times New Roman" w:eastAsia="Times New Roman" w:hAnsi="Times New Roman"/>
          <w:i w:val="1"/>
          <w:color w:val="3c3c3c"/>
          <w:shd w:fill="fafafa" w:val="clear"/>
          <w:rtl w:val="0"/>
        </w:rPr>
        <w:t xml:space="preserve">general academic words and phrases</w:t>
      </w:r>
      <w:r w:rsidDel="00000000" w:rsidR="00000000" w:rsidRPr="00000000">
        <w:rPr>
          <w:rFonts w:ascii="Times New Roman" w:cs="Times New Roman" w:eastAsia="Times New Roman" w:hAnsi="Times New Roman"/>
          <w:color w:val="3c3c3c"/>
          <w:shd w:fill="fafafa" w:val="clear"/>
          <w:rtl w:val="0"/>
        </w:rPr>
        <w:t xml:space="preserve"> that appear in Seymour Simon’s </w:t>
      </w:r>
      <w:r w:rsidDel="00000000" w:rsidR="00000000" w:rsidRPr="00000000">
        <w:rPr>
          <w:rFonts w:ascii="Times New Roman" w:cs="Times New Roman" w:eastAsia="Times New Roman" w:hAnsi="Times New Roman"/>
          <w:i w:val="1"/>
          <w:color w:val="3c3c3c"/>
          <w:shd w:fill="fafafa" w:val="clear"/>
          <w:rtl w:val="0"/>
        </w:rPr>
        <w:t xml:space="preserve">Volcanoes</w:t>
      </w:r>
      <w:r w:rsidDel="00000000" w:rsidR="00000000" w:rsidRPr="00000000">
        <w:rPr>
          <w:rFonts w:ascii="Times New Roman" w:cs="Times New Roman" w:eastAsia="Times New Roman" w:hAnsi="Times New Roman"/>
          <w:color w:val="3c3c3c"/>
          <w:shd w:fill="fafafa" w:val="clear"/>
          <w:rtl w:val="0"/>
        </w:rPr>
        <w:t xml:space="preserve">. (NGA &amp; CCSSO, 2010b, p. 76)</w:t>
      </w:r>
    </w:p>
    <w:p w:rsidR="00000000" w:rsidDel="00000000" w:rsidP="00000000" w:rsidRDefault="00000000" w:rsidRPr="00000000" w14:paraId="00000069">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kp3smdxey9e9" w:id="20"/>
      <w:bookmarkEnd w:id="20"/>
      <w:r w:rsidDel="00000000" w:rsidR="00000000" w:rsidRPr="00000000">
        <w:rPr>
          <w:rFonts w:ascii="Times New Roman" w:cs="Times New Roman" w:eastAsia="Times New Roman" w:hAnsi="Times New Roman"/>
          <w:i w:val="0"/>
          <w:color w:val="3c3c3c"/>
          <w:shd w:fill="fafafa" w:val="clear"/>
        </w:rPr>
        <w:drawing>
          <wp:inline distB="114300" distT="114300" distL="114300" distR="114300">
            <wp:extent cx="635000" cy="635000"/>
            <wp:effectExtent b="0" l="0" r="0" t="0"/>
            <wp:docPr descr="images" id="14" name="image14.png"/>
            <a:graphic>
              <a:graphicData uri="http://schemas.openxmlformats.org/drawingml/2006/picture">
                <pic:pic>
                  <pic:nvPicPr>
                    <pic:cNvPr descr="images" id="0" name="image14.png"/>
                    <pic:cNvPicPr preferRelativeResize="0"/>
                  </pic:nvPicPr>
                  <pic:blipFill>
                    <a:blip r:embed="rId29"/>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Middle Level</w:t>
      </w:r>
    </w:p>
    <w:p w:rsidR="00000000" w:rsidDel="00000000" w:rsidP="00000000" w:rsidRDefault="00000000" w:rsidRPr="00000000" w14:paraId="0000006A">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RL.6.6 (Reading: Literature, grade 6, standard 6):</w:t>
      </w:r>
    </w:p>
    <w:p w:rsidR="00000000" w:rsidDel="00000000" w:rsidP="00000000" w:rsidRDefault="00000000" w:rsidRPr="00000000" w14:paraId="0000006B">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explain how</w:t>
      </w:r>
      <w:r w:rsidDel="00000000" w:rsidR="00000000" w:rsidRPr="00000000">
        <w:rPr>
          <w:rFonts w:ascii="Times New Roman" w:cs="Times New Roman" w:eastAsia="Times New Roman" w:hAnsi="Times New Roman"/>
          <w:color w:val="3c3c3c"/>
          <w:shd w:fill="fafafa" w:val="clear"/>
          <w:rtl w:val="0"/>
        </w:rPr>
        <w:t xml:space="preserve"> Sandra Cisneros’s choice of words </w:t>
      </w:r>
      <w:r w:rsidDel="00000000" w:rsidR="00000000" w:rsidRPr="00000000">
        <w:rPr>
          <w:rFonts w:ascii="Times New Roman" w:cs="Times New Roman" w:eastAsia="Times New Roman" w:hAnsi="Times New Roman"/>
          <w:i w:val="1"/>
          <w:color w:val="3c3c3c"/>
          <w:shd w:fill="fafafa" w:val="clear"/>
          <w:rtl w:val="0"/>
        </w:rPr>
        <w:t xml:space="preserve">develops the point of view of the</w:t>
      </w:r>
      <w:r w:rsidDel="00000000" w:rsidR="00000000" w:rsidRPr="00000000">
        <w:rPr>
          <w:rFonts w:ascii="Times New Roman" w:cs="Times New Roman" w:eastAsia="Times New Roman" w:hAnsi="Times New Roman"/>
          <w:color w:val="3c3c3c"/>
          <w:shd w:fill="fafafa" w:val="clear"/>
          <w:rtl w:val="0"/>
        </w:rPr>
        <w:t xml:space="preserve"> young </w:t>
      </w:r>
      <w:r w:rsidDel="00000000" w:rsidR="00000000" w:rsidRPr="00000000">
        <w:rPr>
          <w:rFonts w:ascii="Times New Roman" w:cs="Times New Roman" w:eastAsia="Times New Roman" w:hAnsi="Times New Roman"/>
          <w:i w:val="1"/>
          <w:color w:val="3c3c3c"/>
          <w:shd w:fill="fafafa" w:val="clear"/>
          <w:rtl w:val="0"/>
        </w:rPr>
        <w:t xml:space="preserve">speaker in</w:t>
      </w:r>
      <w:r w:rsidDel="00000000" w:rsidR="00000000" w:rsidRPr="00000000">
        <w:rPr>
          <w:rFonts w:ascii="Times New Roman" w:cs="Times New Roman" w:eastAsia="Times New Roman" w:hAnsi="Times New Roman"/>
          <w:color w:val="3c3c3c"/>
          <w:shd w:fill="fafafa" w:val="clear"/>
          <w:rtl w:val="0"/>
        </w:rPr>
        <w:t xml:space="preserve"> her story “Eleven.” (NGA &amp; CCSSO, 2010b, p. 89)</w:t>
      </w:r>
    </w:p>
    <w:p w:rsidR="00000000" w:rsidDel="00000000" w:rsidP="00000000" w:rsidRDefault="00000000" w:rsidRPr="00000000" w14:paraId="0000006C">
      <w:pPr>
        <w:pStyle w:val="Heading6"/>
        <w:keepNext w:val="0"/>
        <w:keepLines w:val="0"/>
        <w:spacing w:after="0" w:before="320" w:lineRule="auto"/>
        <w:rPr>
          <w:rFonts w:ascii="Times New Roman" w:cs="Times New Roman" w:eastAsia="Times New Roman" w:hAnsi="Times New Roman"/>
          <w:i w:val="0"/>
          <w:color w:val="3c3c3c"/>
          <w:sz w:val="31"/>
          <w:szCs w:val="31"/>
          <w:shd w:fill="fafafa" w:val="clear"/>
        </w:rPr>
      </w:pPr>
      <w:bookmarkStart w:colFirst="0" w:colLast="0" w:name="_zfyen17owq85" w:id="21"/>
      <w:bookmarkEnd w:id="21"/>
      <w:r w:rsidDel="00000000" w:rsidR="00000000" w:rsidRPr="00000000">
        <w:rPr>
          <w:rFonts w:ascii="Times New Roman" w:cs="Times New Roman" w:eastAsia="Times New Roman" w:hAnsi="Times New Roman"/>
          <w:i w:val="0"/>
          <w:color w:val="3c3c3c"/>
          <w:shd w:fill="fafafa" w:val="clear"/>
        </w:rPr>
        <w:drawing>
          <wp:inline distB="114300" distT="114300" distL="114300" distR="114300">
            <wp:extent cx="635000" cy="635000"/>
            <wp:effectExtent b="0" l="0" r="0" t="0"/>
            <wp:docPr descr="images" id="12" name="image12.png"/>
            <a:graphic>
              <a:graphicData uri="http://schemas.openxmlformats.org/drawingml/2006/picture">
                <pic:pic>
                  <pic:nvPicPr>
                    <pic:cNvPr descr="images" id="0" name="image12.png"/>
                    <pic:cNvPicPr preferRelativeResize="0"/>
                  </pic:nvPicPr>
                  <pic:blipFill>
                    <a:blip r:embed="rId30"/>
                    <a:srcRect b="0" l="0" r="0" t="0"/>
                    <a:stretch>
                      <a:fillRect/>
                    </a:stretch>
                  </pic:blipFill>
                  <pic:spPr>
                    <a:xfrm>
                      <a:off x="0" y="0"/>
                      <a:ext cx="635000" cy="635000"/>
                    </a:xfrm>
                    <a:prstGeom prst="rect"/>
                    <a:ln/>
                  </pic:spPr>
                </pic:pic>
              </a:graphicData>
            </a:graphic>
          </wp:inline>
        </w:drawing>
      </w:r>
      <w:r w:rsidDel="00000000" w:rsidR="00000000" w:rsidRPr="00000000">
        <w:rPr>
          <w:rFonts w:ascii="Times New Roman" w:cs="Times New Roman" w:eastAsia="Times New Roman" w:hAnsi="Times New Roman"/>
          <w:i w:val="0"/>
          <w:color w:val="3c3c3c"/>
          <w:sz w:val="31"/>
          <w:szCs w:val="31"/>
          <w:shd w:fill="fafafa" w:val="clear"/>
          <w:rtl w:val="0"/>
        </w:rPr>
        <w:t xml:space="preserve"> Secondary Level</w:t>
      </w:r>
    </w:p>
    <w:p w:rsidR="00000000" w:rsidDel="00000000" w:rsidP="00000000" w:rsidRDefault="00000000" w:rsidRPr="00000000" w14:paraId="0000006D">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following sample performance task illustrates the application of the ELA Standard RI.11–12.9 (Reading: Informational Text, grades 11–12, standard 9):</w:t>
      </w:r>
    </w:p>
    <w:p w:rsidR="00000000" w:rsidDel="00000000" w:rsidP="00000000" w:rsidRDefault="00000000" w:rsidRPr="00000000" w14:paraId="0000006E">
      <w:pPr>
        <w:spacing w:before="180" w:lineRule="auto"/>
        <w:ind w:left="880" w:right="880" w:firstLine="0"/>
        <w:jc w:val="both"/>
        <w:rPr>
          <w:rFonts w:ascii="Times New Roman" w:cs="Times New Roman" w:eastAsia="Times New Roman" w:hAnsi="Times New Roman"/>
          <w:color w:val="3c3c3c"/>
          <w:shd w:fill="fafafa" w:val="clear"/>
        </w:rPr>
      </w:pPr>
      <w:r w:rsidDel="00000000" w:rsidR="00000000" w:rsidRPr="00000000">
        <w:rPr>
          <w:rFonts w:ascii="Times New Roman" w:cs="Times New Roman" w:eastAsia="Times New Roman" w:hAnsi="Times New Roman"/>
          <w:color w:val="3c3c3c"/>
          <w:shd w:fill="fafafa" w:val="clear"/>
          <w:rtl w:val="0"/>
        </w:rPr>
        <w:t xml:space="preserve">Students </w:t>
      </w:r>
      <w:r w:rsidDel="00000000" w:rsidR="00000000" w:rsidRPr="00000000">
        <w:rPr>
          <w:rFonts w:ascii="Times New Roman" w:cs="Times New Roman" w:eastAsia="Times New Roman" w:hAnsi="Times New Roman"/>
          <w:i w:val="1"/>
          <w:color w:val="3c3c3c"/>
          <w:shd w:fill="fafafa" w:val="clear"/>
          <w:rtl w:val="0"/>
        </w:rPr>
        <w:t xml:space="preserve">analyze</w:t>
      </w:r>
      <w:r w:rsidDel="00000000" w:rsidR="00000000" w:rsidRPr="00000000">
        <w:rPr>
          <w:rFonts w:ascii="Times New Roman" w:cs="Times New Roman" w:eastAsia="Times New Roman" w:hAnsi="Times New Roman"/>
          <w:color w:val="3c3c3c"/>
          <w:shd w:fill="fafafa" w:val="clear"/>
          <w:rtl w:val="0"/>
        </w:rPr>
        <w:t xml:space="preserve"> Thomas Jefferson’s Declaration of Independence, identifying its </w:t>
      </w:r>
      <w:r w:rsidDel="00000000" w:rsidR="00000000" w:rsidRPr="00000000">
        <w:rPr>
          <w:rFonts w:ascii="Times New Roman" w:cs="Times New Roman" w:eastAsia="Times New Roman" w:hAnsi="Times New Roman"/>
          <w:i w:val="1"/>
          <w:color w:val="3c3c3c"/>
          <w:shd w:fill="fafafa" w:val="clear"/>
          <w:rtl w:val="0"/>
        </w:rPr>
        <w:t xml:space="preserve">purpose</w:t>
      </w:r>
      <w:r w:rsidDel="00000000" w:rsidR="00000000" w:rsidRPr="00000000">
        <w:rPr>
          <w:rFonts w:ascii="Times New Roman" w:cs="Times New Roman" w:eastAsia="Times New Roman" w:hAnsi="Times New Roman"/>
          <w:color w:val="3c3c3c"/>
          <w:shd w:fill="fafafa" w:val="clear"/>
          <w:rtl w:val="0"/>
        </w:rPr>
        <w:t xml:space="preserve"> and evaluating </w:t>
      </w:r>
      <w:r w:rsidDel="00000000" w:rsidR="00000000" w:rsidRPr="00000000">
        <w:rPr>
          <w:rFonts w:ascii="Times New Roman" w:cs="Times New Roman" w:eastAsia="Times New Roman" w:hAnsi="Times New Roman"/>
          <w:i w:val="1"/>
          <w:color w:val="3c3c3c"/>
          <w:shd w:fill="fafafa" w:val="clear"/>
          <w:rtl w:val="0"/>
        </w:rPr>
        <w:t xml:space="preserve">rhetorical features</w:t>
      </w:r>
      <w:r w:rsidDel="00000000" w:rsidR="00000000" w:rsidRPr="00000000">
        <w:rPr>
          <w:rFonts w:ascii="Times New Roman" w:cs="Times New Roman" w:eastAsia="Times New Roman" w:hAnsi="Times New Roman"/>
          <w:color w:val="3c3c3c"/>
          <w:shd w:fill="fafafa" w:val="clear"/>
          <w:rtl w:val="0"/>
        </w:rPr>
        <w:t xml:space="preserve"> such as the listing of grievances. Students compare and contrast the </w:t>
      </w:r>
      <w:r w:rsidDel="00000000" w:rsidR="00000000" w:rsidRPr="00000000">
        <w:rPr>
          <w:rFonts w:ascii="Times New Roman" w:cs="Times New Roman" w:eastAsia="Times New Roman" w:hAnsi="Times New Roman"/>
          <w:i w:val="1"/>
          <w:color w:val="3c3c3c"/>
          <w:shd w:fill="fafafa" w:val="clear"/>
          <w:rtl w:val="0"/>
        </w:rPr>
        <w:t xml:space="preserve">themes</w:t>
      </w:r>
      <w:r w:rsidDel="00000000" w:rsidR="00000000" w:rsidRPr="00000000">
        <w:rPr>
          <w:rFonts w:ascii="Times New Roman" w:cs="Times New Roman" w:eastAsia="Times New Roman" w:hAnsi="Times New Roman"/>
          <w:color w:val="3c3c3c"/>
          <w:shd w:fill="fafafa" w:val="clear"/>
          <w:rtl w:val="0"/>
        </w:rPr>
        <w:t xml:space="preserve"> and arguments found there to those of other </w:t>
      </w:r>
      <w:r w:rsidDel="00000000" w:rsidR="00000000" w:rsidRPr="00000000">
        <w:rPr>
          <w:rFonts w:ascii="Times New Roman" w:cs="Times New Roman" w:eastAsia="Times New Roman" w:hAnsi="Times New Roman"/>
          <w:i w:val="1"/>
          <w:color w:val="3c3c3c"/>
          <w:shd w:fill="fafafa" w:val="clear"/>
          <w:rtl w:val="0"/>
        </w:rPr>
        <w:t xml:space="preserve">U.S. documents of historical and literary significance</w:t>
      </w:r>
      <w:r w:rsidDel="00000000" w:rsidR="00000000" w:rsidRPr="00000000">
        <w:rPr>
          <w:rFonts w:ascii="Times New Roman" w:cs="Times New Roman" w:eastAsia="Times New Roman" w:hAnsi="Times New Roman"/>
          <w:color w:val="3c3c3c"/>
          <w:shd w:fill="fafafa" w:val="clear"/>
          <w:rtl w:val="0"/>
        </w:rPr>
        <w:t xml:space="preserve">, such as the Olive Branch Petition. (NGA &amp; CCSSO, 2010b, p. 171)</w:t>
      </w:r>
    </w:p>
    <w:p w:rsidR="00000000" w:rsidDel="00000000" w:rsidP="00000000" w:rsidRDefault="00000000" w:rsidRPr="00000000" w14:paraId="0000006F">
      <w:pPr>
        <w:pStyle w:val="Heading4"/>
        <w:keepNext w:val="0"/>
        <w:keepLines w:val="0"/>
        <w:spacing w:after="0" w:before="300" w:lineRule="auto"/>
        <w:rPr>
          <w:rFonts w:ascii="Times New Roman" w:cs="Times New Roman" w:eastAsia="Times New Roman" w:hAnsi="Times New Roman"/>
          <w:b w:val="1"/>
          <w:color w:val="3c3c3c"/>
          <w:sz w:val="38"/>
          <w:szCs w:val="38"/>
          <w:shd w:fill="fafafa" w:val="clear"/>
        </w:rPr>
      </w:pPr>
      <w:bookmarkStart w:colFirst="0" w:colLast="0" w:name="_mivpnjp0zspv" w:id="22"/>
      <w:bookmarkEnd w:id="22"/>
      <w:r w:rsidDel="00000000" w:rsidR="00000000" w:rsidRPr="00000000">
        <w:rPr>
          <w:rFonts w:ascii="Times New Roman" w:cs="Times New Roman" w:eastAsia="Times New Roman" w:hAnsi="Times New Roman"/>
          <w:b w:val="1"/>
          <w:color w:val="3c3c3c"/>
          <w:sz w:val="38"/>
          <w:szCs w:val="38"/>
          <w:shd w:fill="fafafa" w:val="clear"/>
          <w:rtl w:val="0"/>
        </w:rPr>
        <w:t xml:space="preserve">Reflection Questions</w:t>
      </w:r>
    </w:p>
    <w:p w:rsidR="00000000" w:rsidDel="00000000" w:rsidP="00000000" w:rsidRDefault="00000000" w:rsidRPr="00000000" w14:paraId="00000070">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These questions are designed to enrich your learning from doing. Such reflection enables you to deepen your understanding of the lessons you have just provided. You might also consider modifying these questions to further guide your students’ reflection on this thinking skill.</w:t>
      </w:r>
    </w:p>
    <w:p w:rsidR="00000000" w:rsidDel="00000000" w:rsidP="00000000" w:rsidRDefault="00000000" w:rsidRPr="00000000" w14:paraId="00000071">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1.   How and when do you have students generate a long list of ideas?</w:t>
      </w:r>
    </w:p>
    <w:p w:rsidR="00000000" w:rsidDel="00000000" w:rsidP="00000000" w:rsidRDefault="00000000" w:rsidRPr="00000000" w14:paraId="00000072">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2.   Where are the opportunities in your subject matter for students to generate, produce, or make something as evidence of their learning?</w:t>
      </w:r>
    </w:p>
    <w:p w:rsidR="00000000" w:rsidDel="00000000" w:rsidP="00000000" w:rsidRDefault="00000000" w:rsidRPr="00000000" w14:paraId="00000073">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3.   What takeaway from this chapter will enhance a lesson or unit you are doing?</w:t>
      </w:r>
    </w:p>
    <w:p w:rsidR="00000000" w:rsidDel="00000000" w:rsidP="00000000" w:rsidRDefault="00000000" w:rsidRPr="00000000" w14:paraId="00000074">
      <w:pPr>
        <w:spacing w:before="120" w:lineRule="auto"/>
        <w:ind w:left="1120" w:hanging="3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4.   Complete the following sentence: It is easy for me to generate many ideas when I . . .</w:t>
      </w:r>
    </w:p>
    <w:p w:rsidR="00000000" w:rsidDel="00000000" w:rsidP="00000000" w:rsidRDefault="00000000" w:rsidRPr="00000000" w14:paraId="00000075">
      <w:pPr>
        <w:rPr>
          <w:rFonts w:ascii="Roboto" w:cs="Roboto" w:eastAsia="Roboto" w:hAnsi="Roboto"/>
          <w:color w:val="3c3c3c"/>
          <w:sz w:val="21"/>
          <w:szCs w:val="21"/>
          <w:shd w:fill="fafafa" w:val="clear"/>
        </w:rPr>
      </w:pPr>
      <w:r w:rsidDel="00000000" w:rsidR="00000000" w:rsidRPr="00000000">
        <w:rPr>
          <w:rtl w:val="0"/>
        </w:rPr>
      </w:r>
    </w:p>
    <w:p w:rsidR="00000000" w:rsidDel="00000000" w:rsidP="00000000" w:rsidRDefault="00000000" w:rsidRPr="00000000" w14:paraId="00000076">
      <w:pPr>
        <w:pStyle w:val="Heading3"/>
        <w:keepNext w:val="0"/>
        <w:keepLines w:val="0"/>
        <w:spacing w:after="540" w:before="1600" w:lineRule="auto"/>
        <w:jc w:val="center"/>
        <w:rPr>
          <w:rFonts w:ascii="Times New Roman" w:cs="Times New Roman" w:eastAsia="Times New Roman" w:hAnsi="Times New Roman"/>
          <w:color w:val="3c3c3c"/>
          <w:sz w:val="53"/>
          <w:szCs w:val="53"/>
          <w:shd w:fill="fafafa" w:val="clear"/>
        </w:rPr>
      </w:pPr>
      <w:bookmarkStart w:colFirst="0" w:colLast="0" w:name="_5ukzqc6ds9pu" w:id="23"/>
      <w:bookmarkEnd w:id="23"/>
      <w:r w:rsidDel="00000000" w:rsidR="00000000" w:rsidRPr="00000000">
        <w:rPr>
          <w:rFonts w:ascii="Times New Roman" w:cs="Times New Roman" w:eastAsia="Times New Roman" w:hAnsi="Times New Roman"/>
          <w:color w:val="3c3c3c"/>
          <w:sz w:val="53"/>
          <w:szCs w:val="53"/>
          <w:shd w:fill="fafafa" w:val="clear"/>
          <w:rtl w:val="0"/>
        </w:rPr>
        <w:t xml:space="preserve">Chapter 4: Generate</w:t>
      </w:r>
    </w:p>
    <w:p w:rsidR="00000000" w:rsidDel="00000000" w:rsidP="00000000" w:rsidRDefault="00000000" w:rsidRPr="00000000" w14:paraId="00000077">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To generate ideas, several mental operations must cause a FLOW:</w:t>
      </w:r>
    </w:p>
    <w:p w:rsidR="00000000" w:rsidDel="00000000" w:rsidP="00000000" w:rsidRDefault="00000000" w:rsidRPr="00000000" w14:paraId="00000078">
      <w:pPr>
        <w:spacing w:before="200" w:lineRule="auto"/>
        <w:ind w:left="440" w:firstLine="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b w:val="1"/>
          <w:color w:val="3c3c3c"/>
          <w:sz w:val="24"/>
          <w:szCs w:val="24"/>
          <w:shd w:fill="fafafa" w:val="clear"/>
          <w:rtl w:val="0"/>
        </w:rPr>
        <w:t xml:space="preserve">F</w:t>
      </w:r>
      <w:r w:rsidDel="00000000" w:rsidR="00000000" w:rsidRPr="00000000">
        <w:rPr>
          <w:rFonts w:ascii="Times New Roman" w:cs="Times New Roman" w:eastAsia="Times New Roman" w:hAnsi="Times New Roman"/>
          <w:color w:val="3c3c3c"/>
          <w:sz w:val="24"/>
          <w:szCs w:val="24"/>
          <w:shd w:fill="fafafa" w:val="clear"/>
          <w:rtl w:val="0"/>
        </w:rPr>
        <w:t xml:space="preserve">irst blast—call out a burst of ideas, connect to the topic.</w:t>
      </w:r>
    </w:p>
    <w:p w:rsidR="00000000" w:rsidDel="00000000" w:rsidP="00000000" w:rsidRDefault="00000000" w:rsidRPr="00000000" w14:paraId="00000079">
      <w:pPr>
        <w:spacing w:before="200" w:lineRule="auto"/>
        <w:ind w:left="440" w:firstLine="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b w:val="1"/>
          <w:color w:val="3c3c3c"/>
          <w:sz w:val="24"/>
          <w:szCs w:val="24"/>
          <w:shd w:fill="fafafa" w:val="clear"/>
          <w:rtl w:val="0"/>
        </w:rPr>
        <w:t xml:space="preserve">L</w:t>
      </w:r>
      <w:r w:rsidDel="00000000" w:rsidR="00000000" w:rsidRPr="00000000">
        <w:rPr>
          <w:rFonts w:ascii="Times New Roman" w:cs="Times New Roman" w:eastAsia="Times New Roman" w:hAnsi="Times New Roman"/>
          <w:color w:val="3c3c3c"/>
          <w:sz w:val="24"/>
          <w:szCs w:val="24"/>
          <w:shd w:fill="fafafa" w:val="clear"/>
          <w:rtl w:val="0"/>
        </w:rPr>
        <w:t xml:space="preserve">ong list—add more words by associating and piggybacking on ideas.</w:t>
      </w:r>
    </w:p>
    <w:p w:rsidR="00000000" w:rsidDel="00000000" w:rsidP="00000000" w:rsidRDefault="00000000" w:rsidRPr="00000000" w14:paraId="0000007A">
      <w:pPr>
        <w:spacing w:before="200" w:lineRule="auto"/>
        <w:ind w:left="440" w:firstLine="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b w:val="1"/>
          <w:color w:val="3c3c3c"/>
          <w:sz w:val="24"/>
          <w:szCs w:val="24"/>
          <w:shd w:fill="fafafa" w:val="clear"/>
          <w:rtl w:val="0"/>
        </w:rPr>
        <w:t xml:space="preserve">O</w:t>
      </w:r>
      <w:r w:rsidDel="00000000" w:rsidR="00000000" w:rsidRPr="00000000">
        <w:rPr>
          <w:rFonts w:ascii="Times New Roman" w:cs="Times New Roman" w:eastAsia="Times New Roman" w:hAnsi="Times New Roman"/>
          <w:color w:val="3c3c3c"/>
          <w:sz w:val="24"/>
          <w:szCs w:val="24"/>
          <w:shd w:fill="fafafa" w:val="clear"/>
          <w:rtl w:val="0"/>
        </w:rPr>
        <w:t xml:space="preserve">pen mind—anything goes; defer judgment, go with the flow.</w:t>
      </w:r>
    </w:p>
    <w:p w:rsidR="00000000" w:rsidDel="00000000" w:rsidP="00000000" w:rsidRDefault="00000000" w:rsidRPr="00000000" w14:paraId="0000007B">
      <w:pPr>
        <w:spacing w:before="200" w:lineRule="auto"/>
        <w:ind w:left="440" w:firstLine="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b w:val="1"/>
          <w:color w:val="3c3c3c"/>
          <w:sz w:val="24"/>
          <w:szCs w:val="24"/>
          <w:shd w:fill="fafafa" w:val="clear"/>
          <w:rtl w:val="0"/>
        </w:rPr>
        <w:t xml:space="preserve">W</w:t>
      </w:r>
      <w:r w:rsidDel="00000000" w:rsidR="00000000" w:rsidRPr="00000000">
        <w:rPr>
          <w:rFonts w:ascii="Times New Roman" w:cs="Times New Roman" w:eastAsia="Times New Roman" w:hAnsi="Times New Roman"/>
          <w:color w:val="3c3c3c"/>
          <w:sz w:val="24"/>
          <w:szCs w:val="24"/>
          <w:shd w:fill="fafafa" w:val="clear"/>
          <w:rtl w:val="0"/>
        </w:rPr>
        <w:t xml:space="preserve">ork with the best—select the best idea, target the one with the most potential.</w:t>
      </w:r>
    </w:p>
    <w:p w:rsidR="00000000" w:rsidDel="00000000" w:rsidP="00000000" w:rsidRDefault="00000000" w:rsidRPr="00000000" w14:paraId="0000007C">
      <w:pPr>
        <w:spacing w:before="200" w:lineRule="auto"/>
        <w:ind w:left="0" w:firstLine="0"/>
        <w:jc w:val="both"/>
        <w:rPr>
          <w:rFonts w:ascii="Times New Roman" w:cs="Times New Roman" w:eastAsia="Times New Roman" w:hAnsi="Times New Roman"/>
          <w:color w:val="3c3c3c"/>
          <w:sz w:val="24"/>
          <w:szCs w:val="24"/>
          <w:shd w:fill="fafafa" w:val="clear"/>
        </w:rPr>
      </w:pPr>
      <w:r w:rsidDel="00000000" w:rsidR="00000000" w:rsidRPr="00000000">
        <w:rPr>
          <w:rtl w:val="0"/>
        </w:rPr>
      </w:r>
    </w:p>
    <w:p w:rsidR="00000000" w:rsidDel="00000000" w:rsidP="00000000" w:rsidRDefault="00000000" w:rsidRPr="00000000" w14:paraId="0000007D">
      <w:pPr>
        <w:pStyle w:val="Heading5"/>
        <w:keepNext w:val="0"/>
        <w:keepLines w:val="0"/>
        <w:spacing w:after="0" w:before="340" w:lineRule="auto"/>
        <w:ind w:left="280" w:firstLine="0"/>
        <w:jc w:val="both"/>
        <w:rPr>
          <w:rFonts w:ascii="Times New Roman" w:cs="Times New Roman" w:eastAsia="Times New Roman" w:hAnsi="Times New Roman"/>
          <w:b w:val="1"/>
          <w:i w:val="1"/>
          <w:color w:val="3c3c3c"/>
          <w:sz w:val="34"/>
          <w:szCs w:val="34"/>
          <w:shd w:fill="fafafa" w:val="clear"/>
        </w:rPr>
      </w:pPr>
      <w:bookmarkStart w:colFirst="0" w:colLast="0" w:name="_16k40vpzlv3k" w:id="24"/>
      <w:bookmarkEnd w:id="24"/>
      <w:r w:rsidDel="00000000" w:rsidR="00000000" w:rsidRPr="00000000">
        <w:rPr>
          <w:rFonts w:ascii="Times New Roman" w:cs="Times New Roman" w:eastAsia="Times New Roman" w:hAnsi="Times New Roman"/>
          <w:b w:val="1"/>
          <w:i w:val="1"/>
          <w:color w:val="3c3c3c"/>
          <w:sz w:val="34"/>
          <w:szCs w:val="34"/>
          <w:shd w:fill="fafafa" w:val="clear"/>
          <w:rtl w:val="0"/>
        </w:rPr>
        <w:t xml:space="preserve">Instructional Strategy</w:t>
      </w:r>
    </w:p>
    <w:p w:rsidR="00000000" w:rsidDel="00000000" w:rsidP="00000000" w:rsidRDefault="00000000" w:rsidRPr="00000000" w14:paraId="0000007E">
      <w:pPr>
        <w:spacing w:before="120" w:lineRule="auto"/>
        <w:ind w:firstLine="24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The four-fold concept development is a differentiation tool used to understand a concept or idea and is a great tool to introduce </w:t>
      </w:r>
      <w:r w:rsidDel="00000000" w:rsidR="00000000" w:rsidRPr="00000000">
        <w:rPr>
          <w:rFonts w:ascii="Times New Roman" w:cs="Times New Roman" w:eastAsia="Times New Roman" w:hAnsi="Times New Roman"/>
          <w:i w:val="1"/>
          <w:color w:val="3c3c3c"/>
          <w:sz w:val="24"/>
          <w:szCs w:val="24"/>
          <w:shd w:fill="fafafa" w:val="clear"/>
          <w:rtl w:val="0"/>
        </w:rPr>
        <w:t xml:space="preserve">generate</w:t>
      </w:r>
      <w:r w:rsidDel="00000000" w:rsidR="00000000" w:rsidRPr="00000000">
        <w:rPr>
          <w:rFonts w:ascii="Times New Roman" w:cs="Times New Roman" w:eastAsia="Times New Roman" w:hAnsi="Times New Roman"/>
          <w:color w:val="3c3c3c"/>
          <w:sz w:val="24"/>
          <w:szCs w:val="24"/>
          <w:shd w:fill="fafafa" w:val="clear"/>
          <w:rtl w:val="0"/>
        </w:rPr>
        <w:t xml:space="preserve">. Divide the students into teams, and provide each with a piece of poster paper. The students fold the poster paper into four corner sections. Then they make a small triangle fold with the folded corner. Once opened, this triangle fold appears as a diamond shape in which to write the focus word. Label the sections according to </w:t>
      </w:r>
      <w:hyperlink r:id="rId31">
        <w:r w:rsidDel="00000000" w:rsidR="00000000" w:rsidRPr="00000000">
          <w:rPr>
            <w:rFonts w:ascii="Times New Roman" w:cs="Times New Roman" w:eastAsia="Times New Roman" w:hAnsi="Times New Roman"/>
            <w:color w:val="1155cc"/>
            <w:sz w:val="24"/>
            <w:szCs w:val="24"/>
            <w:u w:val="single"/>
            <w:shd w:fill="fafafa" w:val="clear"/>
            <w:rtl w:val="0"/>
          </w:rPr>
          <w:t xml:space="preserve">figure 4.1</w:t>
        </w:r>
      </w:hyperlink>
      <w:r w:rsidDel="00000000" w:rsidR="00000000" w:rsidRPr="00000000">
        <w:rPr>
          <w:rFonts w:ascii="Times New Roman" w:cs="Times New Roman" w:eastAsia="Times New Roman" w:hAnsi="Times New Roman"/>
          <w:color w:val="3c3c3c"/>
          <w:sz w:val="24"/>
          <w:szCs w:val="24"/>
          <w:shd w:fill="fafafa" w:val="clear"/>
          <w:rtl w:val="0"/>
        </w:rPr>
        <w:t xml:space="preserve"> (</w:t>
      </w:r>
      <w:hyperlink r:id="rId32">
        <w:r w:rsidDel="00000000" w:rsidR="00000000" w:rsidRPr="00000000">
          <w:rPr>
            <w:rFonts w:ascii="Times New Roman" w:cs="Times New Roman" w:eastAsia="Times New Roman" w:hAnsi="Times New Roman"/>
            <w:color w:val="1155cc"/>
            <w:sz w:val="24"/>
            <w:szCs w:val="24"/>
            <w:u w:val="single"/>
            <w:shd w:fill="fafafa" w:val="clear"/>
            <w:rtl w:val="0"/>
          </w:rPr>
          <w:t xml:space="preserve">page 44</w:t>
        </w:r>
      </w:hyperlink>
      <w:r w:rsidDel="00000000" w:rsidR="00000000" w:rsidRPr="00000000">
        <w:rPr>
          <w:rFonts w:ascii="Times New Roman" w:cs="Times New Roman" w:eastAsia="Times New Roman" w:hAnsi="Times New Roman"/>
          <w:color w:val="3c3c3c"/>
          <w:sz w:val="24"/>
          <w:szCs w:val="24"/>
          <w:shd w:fill="fafafa" w:val="clear"/>
          <w:rtl w:val="0"/>
        </w:rPr>
        <w:t xml:space="preserve">). A blank four-fold concept development form can be found in </w:t>
      </w:r>
      <w:hyperlink r:id="rId33">
        <w:r w:rsidDel="00000000" w:rsidR="00000000" w:rsidRPr="00000000">
          <w:rPr>
            <w:rFonts w:ascii="Times New Roman" w:cs="Times New Roman" w:eastAsia="Times New Roman" w:hAnsi="Times New Roman"/>
            <w:color w:val="1155cc"/>
            <w:sz w:val="24"/>
            <w:szCs w:val="24"/>
            <w:u w:val="single"/>
            <w:shd w:fill="fafafa" w:val="clear"/>
            <w:rtl w:val="0"/>
          </w:rPr>
          <w:t xml:space="preserve">appendix A</w:t>
        </w:r>
      </w:hyperlink>
      <w:r w:rsidDel="00000000" w:rsidR="00000000" w:rsidRPr="00000000">
        <w:rPr>
          <w:rFonts w:ascii="Times New Roman" w:cs="Times New Roman" w:eastAsia="Times New Roman" w:hAnsi="Times New Roman"/>
          <w:color w:val="3c3c3c"/>
          <w:sz w:val="24"/>
          <w:szCs w:val="24"/>
          <w:shd w:fill="fafafa" w:val="clear"/>
          <w:rtl w:val="0"/>
        </w:rPr>
        <w:t xml:space="preserve"> on </w:t>
      </w:r>
      <w:hyperlink r:id="rId34">
        <w:r w:rsidDel="00000000" w:rsidR="00000000" w:rsidRPr="00000000">
          <w:rPr>
            <w:rFonts w:ascii="Times New Roman" w:cs="Times New Roman" w:eastAsia="Times New Roman" w:hAnsi="Times New Roman"/>
            <w:color w:val="1155cc"/>
            <w:sz w:val="24"/>
            <w:szCs w:val="24"/>
            <w:u w:val="single"/>
            <w:shd w:fill="fafafa" w:val="clear"/>
            <w:rtl w:val="0"/>
          </w:rPr>
          <w:t xml:space="preserve">page 190</w:t>
        </w:r>
      </w:hyperlink>
      <w:r w:rsidDel="00000000" w:rsidR="00000000" w:rsidRPr="00000000">
        <w:rPr>
          <w:rFonts w:ascii="Times New Roman" w:cs="Times New Roman" w:eastAsia="Times New Roman" w:hAnsi="Times New Roman"/>
          <w:color w:val="3c3c3c"/>
          <w:sz w:val="24"/>
          <w:szCs w:val="24"/>
          <w:shd w:fill="fafafa" w:val="clear"/>
          <w:rtl w:val="0"/>
        </w:rPr>
        <w:t xml:space="preserve">. (Visit </w:t>
      </w:r>
      <w:r w:rsidDel="00000000" w:rsidR="00000000" w:rsidRPr="00000000">
        <w:rPr>
          <w:rFonts w:ascii="Times New Roman" w:cs="Times New Roman" w:eastAsia="Times New Roman" w:hAnsi="Times New Roman"/>
          <w:b w:val="1"/>
          <w:color w:val="3c3c3c"/>
          <w:sz w:val="24"/>
          <w:szCs w:val="24"/>
          <w:shd w:fill="fafafa" w:val="clear"/>
          <w:rtl w:val="0"/>
        </w:rPr>
        <w:t xml:space="preserve">go.solution-tree.com/commoncore</w:t>
      </w:r>
      <w:r w:rsidDel="00000000" w:rsidR="00000000" w:rsidRPr="00000000">
        <w:rPr>
          <w:rFonts w:ascii="Times New Roman" w:cs="Times New Roman" w:eastAsia="Times New Roman" w:hAnsi="Times New Roman"/>
          <w:color w:val="3c3c3c"/>
          <w:sz w:val="24"/>
          <w:szCs w:val="24"/>
          <w:shd w:fill="fafafa" w:val="clear"/>
          <w:rtl w:val="0"/>
        </w:rPr>
        <w:t xml:space="preserve"> to download the reproducibles in this book.) Work with the students to develop the focus word by moving from one section to the next in this order:</w:t>
      </w:r>
    </w:p>
    <w:p w:rsidR="00000000" w:rsidDel="00000000" w:rsidP="00000000" w:rsidRDefault="00000000" w:rsidRPr="00000000" w14:paraId="0000007F">
      <w:pPr>
        <w:spacing w:before="120" w:lineRule="auto"/>
        <w:ind w:left="940" w:hanging="2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   List—the students brainstorm synonyms or ideas for the focus word.</w:t>
      </w:r>
    </w:p>
    <w:p w:rsidR="00000000" w:rsidDel="00000000" w:rsidP="00000000" w:rsidRDefault="00000000" w:rsidRPr="00000000" w14:paraId="00000080">
      <w:pPr>
        <w:spacing w:before="120" w:lineRule="auto"/>
        <w:ind w:left="940" w:hanging="2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   Rank—they look over the list and determine the top three words.</w:t>
      </w:r>
    </w:p>
    <w:p w:rsidR="00000000" w:rsidDel="00000000" w:rsidP="00000000" w:rsidRDefault="00000000" w:rsidRPr="00000000" w14:paraId="00000081">
      <w:pPr>
        <w:spacing w:before="120" w:lineRule="auto"/>
        <w:ind w:left="940" w:hanging="2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   Compare—they use the sentence “[Focus word] is like [concrete object] because both are: [They give three comparisons].”</w:t>
      </w:r>
    </w:p>
    <w:p w:rsidR="00000000" w:rsidDel="00000000" w:rsidP="00000000" w:rsidRDefault="00000000" w:rsidRPr="00000000" w14:paraId="00000082">
      <w:pPr>
        <w:spacing w:before="120" w:lineRule="auto"/>
        <w:ind w:left="940" w:hanging="260"/>
        <w:jc w:val="both"/>
        <w:rPr>
          <w:rFonts w:ascii="Times New Roman" w:cs="Times New Roman" w:eastAsia="Times New Roman" w:hAnsi="Times New Roman"/>
          <w:color w:val="3c3c3c"/>
          <w:sz w:val="24"/>
          <w:szCs w:val="24"/>
          <w:shd w:fill="fafafa" w:val="clear"/>
        </w:rPr>
      </w:pPr>
      <w:r w:rsidDel="00000000" w:rsidR="00000000" w:rsidRPr="00000000">
        <w:rPr>
          <w:rFonts w:ascii="Times New Roman" w:cs="Times New Roman" w:eastAsia="Times New Roman" w:hAnsi="Times New Roman"/>
          <w:color w:val="3c3c3c"/>
          <w:sz w:val="24"/>
          <w:szCs w:val="24"/>
          <w:shd w:fill="fafafa" w:val="clear"/>
          <w:rtl w:val="0"/>
        </w:rPr>
        <w:t xml:space="preserve">•   Illustrate—they draw a visual metaphor or picture of the object compared.</w:t>
      </w:r>
    </w:p>
    <w:p w:rsidR="00000000" w:rsidDel="00000000" w:rsidP="00000000" w:rsidRDefault="00000000" w:rsidRPr="00000000" w14:paraId="00000083">
      <w:pPr>
        <w:spacing w:before="200" w:lineRule="auto"/>
        <w:jc w:val="both"/>
        <w:rPr>
          <w:rFonts w:ascii="Times New Roman" w:cs="Times New Roman" w:eastAsia="Times New Roman" w:hAnsi="Times New Roman"/>
          <w:color w:val="3c3c3c"/>
          <w:sz w:val="24"/>
          <w:szCs w:val="24"/>
          <w:shd w:fill="fafafa" w:val="clear"/>
        </w:rPr>
      </w:pPr>
      <w:r w:rsidDel="00000000" w:rsidR="00000000" w:rsidRPr="00000000">
        <w:rPr>
          <w:rtl w:val="0"/>
        </w:rPr>
      </w:r>
    </w:p>
    <w:p w:rsidR="00000000" w:rsidDel="00000000" w:rsidP="00000000" w:rsidRDefault="00000000" w:rsidRPr="00000000" w14:paraId="00000084">
      <w:pPr>
        <w:spacing w:before="200" w:lineRule="auto"/>
        <w:ind w:left="0" w:firstLine="0"/>
        <w:jc w:val="both"/>
        <w:rPr>
          <w:rFonts w:ascii="Times New Roman" w:cs="Times New Roman" w:eastAsia="Times New Roman" w:hAnsi="Times New Roman"/>
          <w:color w:val="3c3c3c"/>
          <w:sz w:val="24"/>
          <w:szCs w:val="24"/>
          <w:shd w:fill="fafafa" w:val="clea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jigsaw.vitalsource.com/books/9781936764099/epub/OPS/xhtml/backmatter02.xhtml" TargetMode="External"/><Relationship Id="rId22" Type="http://schemas.openxmlformats.org/officeDocument/2006/relationships/image" Target="media/image9.png"/><Relationship Id="rId21" Type="http://schemas.openxmlformats.org/officeDocument/2006/relationships/image" Target="media/image13.png"/><Relationship Id="rId24" Type="http://schemas.openxmlformats.org/officeDocument/2006/relationships/image" Target="media/image10.png"/><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image" Target="media/image7.png"/><Relationship Id="rId25" Type="http://schemas.openxmlformats.org/officeDocument/2006/relationships/image" Target="media/image11.png"/><Relationship Id="rId28" Type="http://schemas.openxmlformats.org/officeDocument/2006/relationships/image" Target="media/image17.png"/><Relationship Id="rId27" Type="http://schemas.openxmlformats.org/officeDocument/2006/relationships/hyperlink" Target="https://jigsaw.vitalsource.com/books/9781936764099/epub/OPS/xhtml/backmatter02.xhtml" TargetMode="External"/><Relationship Id="rId5" Type="http://schemas.openxmlformats.org/officeDocument/2006/relationships/styles" Target="styles.xml"/><Relationship Id="rId6" Type="http://schemas.openxmlformats.org/officeDocument/2006/relationships/hyperlink" Target="https://jigsaw.vitalsource.com/books/9781936764099/epub/OPS/xhtml/chapter01.xhtml?create=true#tab1.1" TargetMode="External"/><Relationship Id="rId29" Type="http://schemas.openxmlformats.org/officeDocument/2006/relationships/image" Target="media/image14.png"/><Relationship Id="rId7" Type="http://schemas.openxmlformats.org/officeDocument/2006/relationships/hyperlink" Target="https://jigsaw.vitalsource.com/books/9781936764099/epub/OPS/xhtml/chapter01.xhtml#page_16" TargetMode="External"/><Relationship Id="rId8" Type="http://schemas.openxmlformats.org/officeDocument/2006/relationships/image" Target="media/image15.png"/><Relationship Id="rId31" Type="http://schemas.openxmlformats.org/officeDocument/2006/relationships/hyperlink" Target="https://jigsaw.vitalsource.com/books/9781936764099/epub/OPS/xhtml/chapter04.xhtml#fig4.1" TargetMode="External"/><Relationship Id="rId30" Type="http://schemas.openxmlformats.org/officeDocument/2006/relationships/image" Target="media/image12.png"/><Relationship Id="rId11" Type="http://schemas.openxmlformats.org/officeDocument/2006/relationships/image" Target="media/image3.png"/><Relationship Id="rId33" Type="http://schemas.openxmlformats.org/officeDocument/2006/relationships/hyperlink" Target="https://jigsaw.vitalsource.com/books/9781936764099/epub/OPS/xhtml/backmatter01.xhtml" TargetMode="External"/><Relationship Id="rId10" Type="http://schemas.openxmlformats.org/officeDocument/2006/relationships/image" Target="media/image20.png"/><Relationship Id="rId32" Type="http://schemas.openxmlformats.org/officeDocument/2006/relationships/hyperlink" Target="https://jigsaw.vitalsource.com/books/9781936764099/epub/OPS/xhtml/chapter04.xhtml#page_44" TargetMode="External"/><Relationship Id="rId13" Type="http://schemas.openxmlformats.org/officeDocument/2006/relationships/image" Target="media/image18.png"/><Relationship Id="rId12" Type="http://schemas.openxmlformats.org/officeDocument/2006/relationships/hyperlink" Target="https://jigsaw.vitalsource.com/books/9781936764099/epub/OPS/xhtml/backmatter02.xhtml" TargetMode="External"/><Relationship Id="rId34" Type="http://schemas.openxmlformats.org/officeDocument/2006/relationships/hyperlink" Target="https://jigsaw.vitalsource.com/books/9781936764099/epub/OPS/xhtml/backmatter01.xhtml#page_190" TargetMode="External"/><Relationship Id="rId15" Type="http://schemas.openxmlformats.org/officeDocument/2006/relationships/image" Target="media/image6.png"/><Relationship Id="rId14" Type="http://schemas.openxmlformats.org/officeDocument/2006/relationships/image" Target="media/image2.png"/><Relationship Id="rId17" Type="http://schemas.openxmlformats.org/officeDocument/2006/relationships/image" Target="media/image8.png"/><Relationship Id="rId16" Type="http://schemas.openxmlformats.org/officeDocument/2006/relationships/image" Target="media/image19.png"/><Relationship Id="rId19" Type="http://schemas.openxmlformats.org/officeDocument/2006/relationships/image" Target="media/image16.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